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0A" w:rsidRDefault="0031620A">
      <w:pPr>
        <w:shd w:val="clear" w:color="auto" w:fill="FFFFFF"/>
        <w:jc w:val="center"/>
        <w:rPr>
          <w:rStyle w:val="FootnoteCharacters"/>
          <w:b/>
        </w:rPr>
      </w:pPr>
    </w:p>
    <w:p w:rsidR="0031620A" w:rsidRDefault="0031620A">
      <w:pPr>
        <w:shd w:val="clear" w:color="auto" w:fill="FFFFFF"/>
        <w:jc w:val="center"/>
        <w:rPr>
          <w:rStyle w:val="FootnoteCharacters"/>
          <w:b/>
        </w:rPr>
      </w:pPr>
    </w:p>
    <w:p w:rsidR="00D339E6" w:rsidRDefault="00C93ADD" w:rsidP="00D339E6">
      <w:pPr>
        <w:shd w:val="clear" w:color="auto" w:fill="FFFFFF"/>
        <w:ind w:left="708" w:firstLine="708"/>
        <w:rPr>
          <w:rStyle w:val="FootnoteCharacters"/>
          <w:b/>
        </w:rPr>
      </w:pPr>
      <w:r>
        <w:rPr>
          <w:b/>
        </w:rPr>
        <w:t xml:space="preserve">SUJET DE THESE </w:t>
      </w:r>
      <w:r w:rsidR="00E74B4B">
        <w:rPr>
          <w:b/>
        </w:rPr>
        <w:t xml:space="preserve">OU DE POST-DOCTORAT </w:t>
      </w:r>
    </w:p>
    <w:p w:rsidR="00D339E6" w:rsidRDefault="00D339E6" w:rsidP="00D339E6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D339E6" w:rsidRPr="00D339E6" w:rsidRDefault="00C93ADD" w:rsidP="00D339E6">
      <w:pPr>
        <w:shd w:val="clear" w:color="auto" w:fill="FFFFFF"/>
        <w:rPr>
          <w:b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Titre</w:t>
      </w:r>
      <w:r w:rsidR="003F301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 w:rsidR="00690198">
        <w:rPr>
          <w:rFonts w:ascii="Arial" w:hAnsi="Arial" w:cs="Arial"/>
          <w:sz w:val="20"/>
          <w:szCs w:val="20"/>
        </w:rPr>
        <w:t> </w:t>
      </w:r>
      <w:r w:rsidR="003F3019">
        <w:rPr>
          <w:rFonts w:ascii="Arial" w:hAnsi="Arial" w:cs="Arial"/>
          <w:sz w:val="20"/>
          <w:szCs w:val="20"/>
        </w:rPr>
        <w:t xml:space="preserve">Lutte contre </w:t>
      </w:r>
      <w:r w:rsidR="009502D0">
        <w:rPr>
          <w:rFonts w:ascii="Arial" w:hAnsi="Arial" w:cs="Arial"/>
          <w:sz w:val="20"/>
          <w:szCs w:val="20"/>
        </w:rPr>
        <w:t>le réchauffement climatique</w:t>
      </w:r>
      <w:r w:rsidR="003F3019">
        <w:rPr>
          <w:rFonts w:ascii="Arial" w:hAnsi="Arial" w:cs="Arial"/>
          <w:sz w:val="20"/>
          <w:szCs w:val="20"/>
        </w:rPr>
        <w:t xml:space="preserve"> et renouveau de la politique industrielle</w:t>
      </w:r>
      <w:r w:rsidR="00F937E7">
        <w:rPr>
          <w:rFonts w:ascii="Arial" w:hAnsi="Arial" w:cs="Arial"/>
          <w:sz w:val="20"/>
          <w:szCs w:val="20"/>
        </w:rPr>
        <w:t> : instruments, controverses</w:t>
      </w:r>
      <w:r w:rsidR="009018A1">
        <w:rPr>
          <w:rFonts w:ascii="Arial" w:hAnsi="Arial" w:cs="Arial"/>
          <w:sz w:val="20"/>
          <w:szCs w:val="20"/>
        </w:rPr>
        <w:t xml:space="preserve"> techniques</w:t>
      </w:r>
      <w:r w:rsidR="00F937E7">
        <w:rPr>
          <w:rFonts w:ascii="Arial" w:hAnsi="Arial" w:cs="Arial"/>
          <w:sz w:val="20"/>
          <w:szCs w:val="20"/>
        </w:rPr>
        <w:t>, anticipations</w:t>
      </w:r>
      <w:r w:rsidR="009018A1">
        <w:rPr>
          <w:rFonts w:ascii="Arial" w:hAnsi="Arial" w:cs="Arial"/>
          <w:sz w:val="20"/>
          <w:szCs w:val="20"/>
        </w:rPr>
        <w:t xml:space="preserve"> économiques…</w:t>
      </w:r>
    </w:p>
    <w:p w:rsidR="00F87223" w:rsidRDefault="00C93ADD" w:rsidP="00D339E6">
      <w:pPr>
        <w:shd w:val="clear" w:color="auto" w:fill="FFFFFF"/>
        <w:spacing w:beforeAutospacing="1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Directeur</w:t>
      </w:r>
      <w:r w:rsidR="004260C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thèse</w:t>
      </w:r>
      <w:r>
        <w:rPr>
          <w:rFonts w:ascii="Arial" w:hAnsi="Arial" w:cs="Arial"/>
          <w:sz w:val="20"/>
          <w:szCs w:val="20"/>
        </w:rPr>
        <w:t> </w:t>
      </w:r>
      <w:r w:rsidR="00FE2051">
        <w:rPr>
          <w:rFonts w:ascii="Arial" w:hAnsi="Arial" w:cs="Arial"/>
          <w:sz w:val="20"/>
          <w:szCs w:val="20"/>
        </w:rPr>
        <w:t xml:space="preserve">(encadrement du post-doc) </w:t>
      </w:r>
      <w:r>
        <w:rPr>
          <w:rFonts w:ascii="Arial" w:hAnsi="Arial" w:cs="Arial"/>
          <w:sz w:val="20"/>
          <w:szCs w:val="20"/>
        </w:rPr>
        <w:t xml:space="preserve">:  </w:t>
      </w:r>
      <w:r w:rsidR="00690198">
        <w:rPr>
          <w:rFonts w:ascii="Arial" w:hAnsi="Arial" w:cs="Arial"/>
          <w:sz w:val="20"/>
          <w:szCs w:val="20"/>
        </w:rPr>
        <w:t xml:space="preserve">Thomas Reverdy, </w:t>
      </w:r>
    </w:p>
    <w:p w:rsidR="00FE2051" w:rsidRPr="00F003AA" w:rsidRDefault="00C93ADD">
      <w:pPr>
        <w:shd w:val="clear" w:color="auto" w:fill="FFFFFF"/>
        <w:spacing w:beforeAutospacing="1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Ecole doctorale : </w:t>
      </w:r>
      <w:r w:rsidR="00690198">
        <w:rPr>
          <w:rFonts w:ascii="Arial" w:hAnsi="Arial" w:cs="Arial"/>
          <w:sz w:val="20"/>
          <w:szCs w:val="20"/>
        </w:rPr>
        <w:t>SHPT</w:t>
      </w:r>
      <w:r w:rsidR="00F003AA">
        <w:rPr>
          <w:rFonts w:ascii="Arial" w:hAnsi="Arial" w:cs="Arial"/>
          <w:sz w:val="20"/>
          <w:szCs w:val="20"/>
        </w:rPr>
        <w:t xml:space="preserve"> / </w:t>
      </w:r>
      <w:r w:rsidR="00FE2051" w:rsidRPr="00FE2051">
        <w:rPr>
          <w:rFonts w:ascii="Arial" w:hAnsi="Arial" w:cs="Arial"/>
          <w:b/>
          <w:sz w:val="20"/>
          <w:szCs w:val="20"/>
        </w:rPr>
        <w:t>Equipe de recherche :</w:t>
      </w:r>
      <w:r w:rsidR="00FE2051">
        <w:rPr>
          <w:rFonts w:ascii="Arial" w:hAnsi="Arial" w:cs="Arial"/>
          <w:sz w:val="20"/>
          <w:szCs w:val="20"/>
        </w:rPr>
        <w:t xml:space="preserve"> PACTE Régulation</w:t>
      </w:r>
    </w:p>
    <w:p w:rsidR="00D339E6" w:rsidRDefault="00C93ADD">
      <w:pPr>
        <w:shd w:val="clear" w:color="auto" w:fill="FFFFFF"/>
        <w:spacing w:beforeAutospacing="1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de début</w:t>
      </w:r>
      <w:r w:rsidR="00534983">
        <w:rPr>
          <w:rFonts w:ascii="Arial" w:hAnsi="Arial" w:cs="Arial"/>
          <w:sz w:val="20"/>
          <w:szCs w:val="20"/>
        </w:rPr>
        <w:t> (souhaitée) : S</w:t>
      </w:r>
      <w:r>
        <w:rPr>
          <w:rFonts w:ascii="Arial" w:hAnsi="Arial" w:cs="Arial"/>
          <w:sz w:val="20"/>
          <w:szCs w:val="20"/>
        </w:rPr>
        <w:t>eptembre 2023</w:t>
      </w:r>
    </w:p>
    <w:p w:rsidR="00B25EF4" w:rsidRPr="00D339E6" w:rsidRDefault="00B25EF4">
      <w:pPr>
        <w:shd w:val="clear" w:color="auto" w:fill="FFFFFF"/>
        <w:spacing w:beforeAutospacing="1" w:afterAutospacing="1"/>
        <w:rPr>
          <w:sz w:val="20"/>
          <w:szCs w:val="20"/>
        </w:rPr>
      </w:pPr>
      <w:r w:rsidRPr="00B25EF4">
        <w:rPr>
          <w:rFonts w:ascii="Arial" w:hAnsi="Arial" w:cs="Arial"/>
          <w:b/>
          <w:sz w:val="20"/>
          <w:szCs w:val="20"/>
        </w:rPr>
        <w:t>Durée :</w:t>
      </w:r>
      <w:r>
        <w:rPr>
          <w:rFonts w:ascii="Arial" w:hAnsi="Arial" w:cs="Arial"/>
          <w:sz w:val="20"/>
          <w:szCs w:val="20"/>
        </w:rPr>
        <w:t xml:space="preserve"> 3 ans pour un contrat doctoral, 2 ans pour un post-doc. </w:t>
      </w:r>
    </w:p>
    <w:p w:rsidR="0031620A" w:rsidRPr="00D339E6" w:rsidRDefault="00C93ADD">
      <w:pPr>
        <w:shd w:val="clear" w:color="auto" w:fill="FFFFFF"/>
        <w:spacing w:beforeAutospacing="1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 du sujet :</w:t>
      </w:r>
      <w:r w:rsidR="00BB6F0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87223" w:rsidRDefault="00690198" w:rsidP="002B6D28">
      <w:pPr>
        <w:shd w:val="clear" w:color="auto" w:fill="FFFFFF"/>
        <w:spacing w:beforeAutospacing="1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lutte contre le changement climatique concerne l’industrie, </w:t>
      </w:r>
      <w:r w:rsidR="00CB4160">
        <w:rPr>
          <w:rFonts w:ascii="Arial" w:hAnsi="Arial" w:cs="Arial"/>
          <w:sz w:val="20"/>
          <w:szCs w:val="20"/>
        </w:rPr>
        <w:t>important</w:t>
      </w:r>
      <w:r>
        <w:rPr>
          <w:rFonts w:ascii="Arial" w:hAnsi="Arial" w:cs="Arial"/>
          <w:sz w:val="20"/>
          <w:szCs w:val="20"/>
        </w:rPr>
        <w:t xml:space="preserve"> émetteur de gaz à effet de serre, par ses équipements, ses activités logistiques et bien sûr ses produits. </w:t>
      </w:r>
      <w:r w:rsidR="00D27471">
        <w:rPr>
          <w:rFonts w:ascii="Arial" w:hAnsi="Arial" w:cs="Arial"/>
          <w:sz w:val="20"/>
          <w:szCs w:val="20"/>
        </w:rPr>
        <w:t xml:space="preserve">Différents instruments économiques participent à la formation d’une « demande » pour des </w:t>
      </w:r>
      <w:r w:rsidR="009018A1">
        <w:rPr>
          <w:rFonts w:ascii="Arial" w:hAnsi="Arial" w:cs="Arial"/>
          <w:sz w:val="20"/>
          <w:szCs w:val="20"/>
        </w:rPr>
        <w:t>changements technologiques</w:t>
      </w:r>
      <w:r w:rsidR="00D27471">
        <w:rPr>
          <w:rFonts w:ascii="Arial" w:hAnsi="Arial" w:cs="Arial"/>
          <w:sz w:val="20"/>
          <w:szCs w:val="20"/>
        </w:rPr>
        <w:t> : l</w:t>
      </w:r>
      <w:r>
        <w:rPr>
          <w:rFonts w:ascii="Arial" w:hAnsi="Arial" w:cs="Arial"/>
          <w:sz w:val="20"/>
          <w:szCs w:val="20"/>
        </w:rPr>
        <w:t xml:space="preserve">e marché des quotas d’émission de gaz à effet de serre </w:t>
      </w:r>
      <w:r w:rsidR="00944E2D">
        <w:rPr>
          <w:rFonts w:ascii="Arial" w:hAnsi="Arial" w:cs="Arial"/>
          <w:sz w:val="20"/>
          <w:szCs w:val="20"/>
        </w:rPr>
        <w:t xml:space="preserve">a été relancé </w:t>
      </w:r>
      <w:r w:rsidR="00F87223">
        <w:rPr>
          <w:rFonts w:ascii="Arial" w:hAnsi="Arial" w:cs="Arial"/>
          <w:sz w:val="20"/>
          <w:szCs w:val="20"/>
        </w:rPr>
        <w:t xml:space="preserve">dans l’objectif </w:t>
      </w:r>
      <w:r w:rsidR="00944E2D">
        <w:rPr>
          <w:rFonts w:ascii="Arial" w:hAnsi="Arial" w:cs="Arial"/>
          <w:sz w:val="20"/>
          <w:szCs w:val="20"/>
        </w:rPr>
        <w:t>d’augmenter</w:t>
      </w:r>
      <w:r w:rsidR="0020671A">
        <w:rPr>
          <w:rFonts w:ascii="Arial" w:hAnsi="Arial" w:cs="Arial"/>
          <w:sz w:val="20"/>
          <w:szCs w:val="20"/>
        </w:rPr>
        <w:t xml:space="preserve"> les incitations économiques pour des actions de réduction des émissions</w:t>
      </w:r>
      <w:r w:rsidR="00BD0ACE">
        <w:rPr>
          <w:rFonts w:ascii="Arial" w:hAnsi="Arial" w:cs="Arial"/>
          <w:sz w:val="20"/>
          <w:szCs w:val="20"/>
        </w:rPr>
        <w:t xml:space="preserve"> </w:t>
      </w:r>
      <w:r w:rsidR="00BD0ACE" w:rsidRPr="00BD0ACE">
        <w:rPr>
          <w:rFonts w:ascii="Arial" w:hAnsi="Arial" w:cs="Arial"/>
          <w:sz w:val="20"/>
        </w:rPr>
        <w:t>(Neyland, Ehrenstein, et Milyaeva 2019)</w:t>
      </w:r>
      <w:r w:rsidR="0020671A">
        <w:rPr>
          <w:rFonts w:ascii="Arial" w:hAnsi="Arial" w:cs="Arial"/>
          <w:sz w:val="20"/>
          <w:szCs w:val="20"/>
        </w:rPr>
        <w:t xml:space="preserve">. </w:t>
      </w:r>
      <w:r w:rsidR="0017596F">
        <w:rPr>
          <w:rFonts w:ascii="Arial" w:hAnsi="Arial" w:cs="Arial"/>
          <w:sz w:val="20"/>
          <w:szCs w:val="20"/>
        </w:rPr>
        <w:t>De même, la mise en place de certification</w:t>
      </w:r>
      <w:r w:rsidR="00122697">
        <w:rPr>
          <w:rFonts w:ascii="Arial" w:hAnsi="Arial" w:cs="Arial"/>
          <w:sz w:val="20"/>
          <w:szCs w:val="20"/>
        </w:rPr>
        <w:t>s</w:t>
      </w:r>
      <w:r w:rsidR="0017596F">
        <w:rPr>
          <w:rFonts w:ascii="Arial" w:hAnsi="Arial" w:cs="Arial"/>
          <w:sz w:val="20"/>
          <w:szCs w:val="20"/>
        </w:rPr>
        <w:t xml:space="preserve"> </w:t>
      </w:r>
      <w:r w:rsidR="009018A1">
        <w:rPr>
          <w:rFonts w:ascii="Arial" w:hAnsi="Arial" w:cs="Arial"/>
          <w:sz w:val="20"/>
          <w:szCs w:val="20"/>
        </w:rPr>
        <w:t>« verte</w:t>
      </w:r>
      <w:r w:rsidR="00122697">
        <w:rPr>
          <w:rFonts w:ascii="Arial" w:hAnsi="Arial" w:cs="Arial"/>
          <w:sz w:val="20"/>
          <w:szCs w:val="20"/>
        </w:rPr>
        <w:t>s</w:t>
      </w:r>
      <w:r w:rsidR="009018A1">
        <w:rPr>
          <w:rFonts w:ascii="Arial" w:hAnsi="Arial" w:cs="Arial"/>
          <w:sz w:val="20"/>
          <w:szCs w:val="20"/>
        </w:rPr>
        <w:t xml:space="preserve"> » </w:t>
      </w:r>
      <w:r w:rsidR="0017596F">
        <w:rPr>
          <w:rFonts w:ascii="Arial" w:hAnsi="Arial" w:cs="Arial"/>
          <w:sz w:val="20"/>
          <w:szCs w:val="20"/>
        </w:rPr>
        <w:t xml:space="preserve">de vecteurs énergétiques (électricité, gaz, hydrogène, carburant) crée </w:t>
      </w:r>
      <w:r w:rsidR="00F87223">
        <w:rPr>
          <w:rFonts w:ascii="Arial" w:hAnsi="Arial" w:cs="Arial"/>
          <w:sz w:val="20"/>
          <w:szCs w:val="20"/>
        </w:rPr>
        <w:t xml:space="preserve">aussi de nouvelles incitations à la décarbonation, </w:t>
      </w:r>
      <w:r w:rsidR="00122697">
        <w:rPr>
          <w:rFonts w:ascii="Arial" w:hAnsi="Arial" w:cs="Arial"/>
          <w:sz w:val="20"/>
          <w:szCs w:val="20"/>
        </w:rPr>
        <w:t>accompagnées</w:t>
      </w:r>
      <w:r w:rsidR="00F87223">
        <w:rPr>
          <w:rFonts w:ascii="Arial" w:hAnsi="Arial" w:cs="Arial"/>
          <w:sz w:val="20"/>
          <w:szCs w:val="20"/>
        </w:rPr>
        <w:t xml:space="preserve"> par la </w:t>
      </w:r>
      <w:r w:rsidR="0017596F">
        <w:rPr>
          <w:rFonts w:ascii="Arial" w:hAnsi="Arial" w:cs="Arial"/>
          <w:sz w:val="20"/>
          <w:szCs w:val="20"/>
        </w:rPr>
        <w:t xml:space="preserve">fiscalité, </w:t>
      </w:r>
      <w:r w:rsidR="00F87223">
        <w:rPr>
          <w:rFonts w:ascii="Arial" w:hAnsi="Arial" w:cs="Arial"/>
          <w:sz w:val="20"/>
          <w:szCs w:val="20"/>
        </w:rPr>
        <w:t xml:space="preserve">la </w:t>
      </w:r>
      <w:r w:rsidR="0017596F">
        <w:rPr>
          <w:rFonts w:ascii="Arial" w:hAnsi="Arial" w:cs="Arial"/>
          <w:sz w:val="20"/>
          <w:szCs w:val="20"/>
        </w:rPr>
        <w:t>demande des consommateurs,</w:t>
      </w:r>
      <w:r w:rsidR="00F87223">
        <w:rPr>
          <w:rFonts w:ascii="Arial" w:hAnsi="Arial" w:cs="Arial"/>
          <w:sz w:val="20"/>
          <w:szCs w:val="20"/>
        </w:rPr>
        <w:t xml:space="preserve"> ou la</w:t>
      </w:r>
      <w:r w:rsidR="0017596F">
        <w:rPr>
          <w:rFonts w:ascii="Arial" w:hAnsi="Arial" w:cs="Arial"/>
          <w:sz w:val="20"/>
          <w:szCs w:val="20"/>
        </w:rPr>
        <w:t xml:space="preserve"> prise en compte dans l’évaluation de la neutralité carbone…). </w:t>
      </w:r>
    </w:p>
    <w:p w:rsidR="0020671A" w:rsidRDefault="0020671A" w:rsidP="002B6D28">
      <w:pPr>
        <w:shd w:val="clear" w:color="auto" w:fill="FFFFFF"/>
        <w:spacing w:beforeAutospacing="1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parallèle</w:t>
      </w:r>
      <w:r w:rsidR="00D27471">
        <w:rPr>
          <w:rFonts w:ascii="Arial" w:hAnsi="Arial" w:cs="Arial"/>
          <w:sz w:val="20"/>
          <w:szCs w:val="20"/>
        </w:rPr>
        <w:t xml:space="preserve"> de ces instruments de marché</w:t>
      </w:r>
      <w:r>
        <w:rPr>
          <w:rFonts w:ascii="Arial" w:hAnsi="Arial" w:cs="Arial"/>
          <w:sz w:val="20"/>
          <w:szCs w:val="20"/>
        </w:rPr>
        <w:t>, de nombreux pays se sont e</w:t>
      </w:r>
      <w:r w:rsidR="009018A1">
        <w:rPr>
          <w:rFonts w:ascii="Arial" w:hAnsi="Arial" w:cs="Arial"/>
          <w:sz w:val="20"/>
          <w:szCs w:val="20"/>
        </w:rPr>
        <w:t>ngagés dans la mise en place de</w:t>
      </w:r>
      <w:r>
        <w:rPr>
          <w:rFonts w:ascii="Arial" w:hAnsi="Arial" w:cs="Arial"/>
          <w:sz w:val="20"/>
          <w:szCs w:val="20"/>
        </w:rPr>
        <w:t xml:space="preserve"> politiques </w:t>
      </w:r>
      <w:r w:rsidR="00D27471">
        <w:rPr>
          <w:rFonts w:ascii="Arial" w:hAnsi="Arial" w:cs="Arial"/>
          <w:sz w:val="20"/>
          <w:szCs w:val="20"/>
        </w:rPr>
        <w:t>plus interventionnistes, par des</w:t>
      </w:r>
      <w:r>
        <w:rPr>
          <w:rFonts w:ascii="Arial" w:hAnsi="Arial" w:cs="Arial"/>
          <w:sz w:val="20"/>
          <w:szCs w:val="20"/>
        </w:rPr>
        <w:t xml:space="preserve"> soutien</w:t>
      </w:r>
      <w:r w:rsidR="00D2747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financier</w:t>
      </w:r>
      <w:r w:rsidR="00D2747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aux investissements industriels et technologiques</w:t>
      </w:r>
      <w:r w:rsidR="009018A1">
        <w:rPr>
          <w:rFonts w:ascii="Arial" w:hAnsi="Arial" w:cs="Arial"/>
          <w:sz w:val="20"/>
          <w:szCs w:val="20"/>
        </w:rPr>
        <w:t xml:space="preserve"> dans le contexte des plans de </w:t>
      </w:r>
      <w:r w:rsidR="00D27471">
        <w:rPr>
          <w:rFonts w:ascii="Arial" w:hAnsi="Arial" w:cs="Arial"/>
          <w:sz w:val="20"/>
          <w:szCs w:val="20"/>
        </w:rPr>
        <w:t xml:space="preserve">relance post-covid, </w:t>
      </w:r>
      <w:r w:rsidR="00944E2D">
        <w:rPr>
          <w:rFonts w:ascii="Arial" w:hAnsi="Arial" w:cs="Arial"/>
          <w:sz w:val="20"/>
          <w:szCs w:val="20"/>
        </w:rPr>
        <w:t>dont une partie est consacrée à</w:t>
      </w:r>
      <w:r>
        <w:rPr>
          <w:rFonts w:ascii="Arial" w:hAnsi="Arial" w:cs="Arial"/>
          <w:sz w:val="20"/>
          <w:szCs w:val="20"/>
        </w:rPr>
        <w:t xml:space="preserve"> la lutte contre les émissions de </w:t>
      </w:r>
      <w:r w:rsidR="003F3019">
        <w:rPr>
          <w:rFonts w:ascii="Arial" w:hAnsi="Arial" w:cs="Arial"/>
          <w:sz w:val="20"/>
          <w:szCs w:val="20"/>
        </w:rPr>
        <w:t>gaz à effet de serre.</w:t>
      </w:r>
      <w:r w:rsidR="0017596F">
        <w:rPr>
          <w:rFonts w:ascii="Arial" w:hAnsi="Arial" w:cs="Arial"/>
          <w:sz w:val="20"/>
          <w:szCs w:val="20"/>
        </w:rPr>
        <w:t xml:space="preserve"> </w:t>
      </w:r>
    </w:p>
    <w:p w:rsidR="00BD0ACE" w:rsidRDefault="0030068B" w:rsidP="002B6D28">
      <w:pPr>
        <w:shd w:val="clear" w:color="auto" w:fill="FFFFFF"/>
        <w:spacing w:beforeAutospacing="1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le cadre d’un projet interdisciplinaire porté par l’IDEX de Université de Grenoble-Alpes appelé DéfiCO2 (</w:t>
      </w:r>
      <w:hyperlink r:id="rId8" w:history="1">
        <w:r w:rsidRPr="00611E6E">
          <w:rPr>
            <w:rStyle w:val="Lienhypertexte"/>
            <w:rFonts w:ascii="Arial" w:hAnsi="Arial" w:cs="Arial"/>
            <w:sz w:val="20"/>
            <w:szCs w:val="20"/>
          </w:rPr>
          <w:t>https://defico2.univ-grenoble-alpes.fr/fr</w:t>
        </w:r>
      </w:hyperlink>
      <w:r>
        <w:rPr>
          <w:rFonts w:ascii="Arial" w:hAnsi="Arial" w:cs="Arial"/>
          <w:sz w:val="20"/>
          <w:szCs w:val="20"/>
        </w:rPr>
        <w:t>), l</w:t>
      </w:r>
      <w:r w:rsidR="0020671A">
        <w:rPr>
          <w:rFonts w:ascii="Arial" w:hAnsi="Arial" w:cs="Arial"/>
          <w:sz w:val="20"/>
          <w:szCs w:val="20"/>
        </w:rPr>
        <w:t xml:space="preserve">e projet de thèse ou de post-doc aura pour objectif </w:t>
      </w:r>
      <w:r w:rsidR="00F87223">
        <w:rPr>
          <w:rFonts w:ascii="Arial" w:hAnsi="Arial" w:cs="Arial"/>
          <w:sz w:val="20"/>
          <w:szCs w:val="20"/>
        </w:rPr>
        <w:t xml:space="preserve">de contribuer à l’étude </w:t>
      </w:r>
      <w:r w:rsidR="0017596F">
        <w:rPr>
          <w:rFonts w:ascii="Arial" w:hAnsi="Arial" w:cs="Arial"/>
          <w:sz w:val="20"/>
          <w:szCs w:val="20"/>
        </w:rPr>
        <w:t>de ces politiques</w:t>
      </w:r>
      <w:r>
        <w:rPr>
          <w:rFonts w:ascii="Arial" w:hAnsi="Arial" w:cs="Arial"/>
          <w:sz w:val="20"/>
          <w:szCs w:val="20"/>
        </w:rPr>
        <w:t xml:space="preserve"> </w:t>
      </w:r>
      <w:r w:rsidR="00792ACA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décarbonation</w:t>
      </w:r>
      <w:r w:rsidR="0017596F">
        <w:rPr>
          <w:rFonts w:ascii="Arial" w:hAnsi="Arial" w:cs="Arial"/>
          <w:sz w:val="20"/>
          <w:szCs w:val="20"/>
        </w:rPr>
        <w:t xml:space="preserve">, </w:t>
      </w:r>
      <w:r w:rsidR="00BE7501">
        <w:rPr>
          <w:rFonts w:ascii="Arial" w:hAnsi="Arial" w:cs="Arial"/>
          <w:sz w:val="20"/>
          <w:szCs w:val="20"/>
        </w:rPr>
        <w:t>l</w:t>
      </w:r>
      <w:r w:rsidR="00F87223">
        <w:rPr>
          <w:rFonts w:ascii="Arial" w:hAnsi="Arial" w:cs="Arial"/>
          <w:sz w:val="20"/>
          <w:szCs w:val="20"/>
        </w:rPr>
        <w:t>eur définition, l</w:t>
      </w:r>
      <w:r w:rsidR="00BE7501">
        <w:rPr>
          <w:rFonts w:ascii="Arial" w:hAnsi="Arial" w:cs="Arial"/>
          <w:sz w:val="20"/>
          <w:szCs w:val="20"/>
        </w:rPr>
        <w:t xml:space="preserve">eurs recouvrements et leur articulation, </w:t>
      </w:r>
      <w:r w:rsidR="0020671A">
        <w:rPr>
          <w:rFonts w:ascii="Arial" w:hAnsi="Arial" w:cs="Arial"/>
          <w:sz w:val="20"/>
          <w:szCs w:val="20"/>
        </w:rPr>
        <w:t xml:space="preserve">d’examiner </w:t>
      </w:r>
      <w:r w:rsidR="003F3019">
        <w:rPr>
          <w:rFonts w:ascii="Arial" w:hAnsi="Arial" w:cs="Arial"/>
          <w:sz w:val="20"/>
          <w:szCs w:val="20"/>
        </w:rPr>
        <w:t>comment</w:t>
      </w:r>
      <w:r w:rsidR="00BE7501">
        <w:rPr>
          <w:rFonts w:ascii="Arial" w:hAnsi="Arial" w:cs="Arial"/>
          <w:sz w:val="20"/>
          <w:szCs w:val="20"/>
        </w:rPr>
        <w:t xml:space="preserve"> différentes parties prenantes </w:t>
      </w:r>
      <w:r w:rsidR="003F3019">
        <w:rPr>
          <w:rFonts w:ascii="Arial" w:hAnsi="Arial" w:cs="Arial"/>
          <w:sz w:val="20"/>
          <w:szCs w:val="20"/>
        </w:rPr>
        <w:t xml:space="preserve">anticipent leur évolution et </w:t>
      </w:r>
      <w:r w:rsidR="00BE7501">
        <w:rPr>
          <w:rFonts w:ascii="Arial" w:hAnsi="Arial" w:cs="Arial"/>
          <w:sz w:val="20"/>
          <w:szCs w:val="20"/>
        </w:rPr>
        <w:t>participent à leur définition</w:t>
      </w:r>
      <w:r w:rsidR="00995822">
        <w:rPr>
          <w:rFonts w:ascii="Arial" w:hAnsi="Arial" w:cs="Arial"/>
          <w:sz w:val="20"/>
          <w:szCs w:val="20"/>
        </w:rPr>
        <w:t xml:space="preserve">. </w:t>
      </w:r>
    </w:p>
    <w:p w:rsidR="002B4CF6" w:rsidRDefault="0017596F" w:rsidP="002B6D28">
      <w:pPr>
        <w:shd w:val="clear" w:color="auto" w:fill="FFFFFF"/>
        <w:spacing w:beforeAutospacing="1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95822">
        <w:rPr>
          <w:rFonts w:ascii="Arial" w:hAnsi="Arial" w:cs="Arial"/>
          <w:sz w:val="20"/>
          <w:szCs w:val="20"/>
        </w:rPr>
        <w:t>e projet</w:t>
      </w:r>
      <w:r>
        <w:rPr>
          <w:rFonts w:ascii="Arial" w:hAnsi="Arial" w:cs="Arial"/>
          <w:sz w:val="20"/>
          <w:szCs w:val="20"/>
        </w:rPr>
        <w:t xml:space="preserve"> pourra éventuellement contribuer</w:t>
      </w:r>
      <w:r w:rsidR="00995822">
        <w:rPr>
          <w:rFonts w:ascii="Arial" w:hAnsi="Arial" w:cs="Arial"/>
          <w:sz w:val="20"/>
          <w:szCs w:val="20"/>
        </w:rPr>
        <w:t xml:space="preserve"> à plusieurs débats contemporains en sociologie économique</w:t>
      </w:r>
      <w:r w:rsidR="00FD4920">
        <w:rPr>
          <w:rFonts w:ascii="Arial" w:hAnsi="Arial" w:cs="Arial"/>
          <w:sz w:val="20"/>
          <w:szCs w:val="20"/>
        </w:rPr>
        <w:t xml:space="preserve"> et en sociologie des techniques</w:t>
      </w:r>
      <w:r w:rsidR="00995822">
        <w:rPr>
          <w:rFonts w:ascii="Arial" w:hAnsi="Arial" w:cs="Arial"/>
          <w:sz w:val="20"/>
          <w:szCs w:val="20"/>
        </w:rPr>
        <w:t xml:space="preserve">. </w:t>
      </w:r>
    </w:p>
    <w:p w:rsidR="00995822" w:rsidRDefault="004057EC" w:rsidP="002B6D28">
      <w:pPr>
        <w:shd w:val="clear" w:color="auto" w:fill="FFFFFF"/>
        <w:spacing w:beforeAutospacing="1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premier débat concerne la définition des politiques publiques et la place respectiv</w:t>
      </w:r>
      <w:r w:rsidR="00BD0ACE">
        <w:rPr>
          <w:rFonts w:ascii="Arial" w:hAnsi="Arial" w:cs="Arial"/>
          <w:sz w:val="20"/>
          <w:szCs w:val="20"/>
        </w:rPr>
        <w:t xml:space="preserve">e des instruments de marché </w:t>
      </w:r>
      <w:r w:rsidR="0017596F">
        <w:rPr>
          <w:rFonts w:ascii="Arial" w:hAnsi="Arial" w:cs="Arial"/>
          <w:sz w:val="20"/>
          <w:szCs w:val="20"/>
        </w:rPr>
        <w:t>(certification, quotas…)</w:t>
      </w:r>
      <w:r>
        <w:rPr>
          <w:rFonts w:ascii="Arial" w:hAnsi="Arial" w:cs="Arial"/>
          <w:sz w:val="20"/>
          <w:szCs w:val="20"/>
        </w:rPr>
        <w:t xml:space="preserve"> et de l’interventionnisme </w:t>
      </w:r>
      <w:r w:rsidR="00792ACA">
        <w:rPr>
          <w:rFonts w:ascii="Arial" w:hAnsi="Arial" w:cs="Arial"/>
          <w:sz w:val="20"/>
          <w:szCs w:val="20"/>
        </w:rPr>
        <w:t>public</w:t>
      </w:r>
      <w:r>
        <w:rPr>
          <w:rFonts w:ascii="Arial" w:hAnsi="Arial" w:cs="Arial"/>
          <w:sz w:val="20"/>
          <w:szCs w:val="20"/>
        </w:rPr>
        <w:t xml:space="preserve"> par le biais de la politique industrielle</w:t>
      </w:r>
      <w:r w:rsidR="003E4F50">
        <w:rPr>
          <w:rFonts w:ascii="Arial" w:hAnsi="Arial" w:cs="Arial"/>
          <w:sz w:val="20"/>
          <w:szCs w:val="20"/>
        </w:rPr>
        <w:t xml:space="preserve"> </w:t>
      </w:r>
      <w:r w:rsidR="003E4F50" w:rsidRPr="003E4F50">
        <w:rPr>
          <w:rFonts w:ascii="Arial" w:hAnsi="Arial" w:cs="Arial"/>
          <w:sz w:val="20"/>
        </w:rPr>
        <w:t>(Meckling 2021)</w:t>
      </w:r>
      <w:r>
        <w:rPr>
          <w:rFonts w:ascii="Arial" w:hAnsi="Arial" w:cs="Arial"/>
          <w:sz w:val="20"/>
          <w:szCs w:val="20"/>
        </w:rPr>
        <w:t>. Longtemps contenue par le</w:t>
      </w:r>
      <w:r w:rsidR="00995822">
        <w:rPr>
          <w:rFonts w:ascii="Arial" w:hAnsi="Arial" w:cs="Arial"/>
          <w:sz w:val="20"/>
          <w:szCs w:val="20"/>
        </w:rPr>
        <w:t xml:space="preserve"> cadre </w:t>
      </w:r>
      <w:r w:rsidR="003F3019">
        <w:rPr>
          <w:rFonts w:ascii="Arial" w:hAnsi="Arial" w:cs="Arial"/>
          <w:sz w:val="20"/>
          <w:szCs w:val="20"/>
        </w:rPr>
        <w:t>européen du contrôle des aides d’Etat</w:t>
      </w:r>
      <w:r w:rsidR="00BD0ACE">
        <w:rPr>
          <w:rFonts w:ascii="Arial" w:hAnsi="Arial" w:cs="Arial"/>
          <w:sz w:val="20"/>
          <w:szCs w:val="20"/>
        </w:rPr>
        <w:t xml:space="preserve"> </w:t>
      </w:r>
      <w:r w:rsidR="00BD0ACE" w:rsidRPr="00BD0ACE">
        <w:rPr>
          <w:rFonts w:ascii="Arial" w:hAnsi="Arial" w:cs="Arial"/>
          <w:sz w:val="20"/>
        </w:rPr>
        <w:t>(Davies 2013)</w:t>
      </w:r>
      <w:r w:rsidR="003F301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la politiqu</w:t>
      </w:r>
      <w:r w:rsidR="00FD4920">
        <w:rPr>
          <w:rFonts w:ascii="Arial" w:hAnsi="Arial" w:cs="Arial"/>
          <w:sz w:val="20"/>
          <w:szCs w:val="20"/>
        </w:rPr>
        <w:t>e industrielle française serai</w:t>
      </w:r>
      <w:r>
        <w:rPr>
          <w:rFonts w:ascii="Arial" w:hAnsi="Arial" w:cs="Arial"/>
          <w:sz w:val="20"/>
          <w:szCs w:val="20"/>
        </w:rPr>
        <w:t>t actuellement relancée p</w:t>
      </w:r>
      <w:r w:rsidR="002B4CF6">
        <w:rPr>
          <w:rFonts w:ascii="Arial" w:hAnsi="Arial" w:cs="Arial"/>
          <w:sz w:val="20"/>
          <w:szCs w:val="20"/>
        </w:rPr>
        <w:t xml:space="preserve">ar les enjeux de décarbonation. </w:t>
      </w:r>
      <w:r>
        <w:rPr>
          <w:rFonts w:ascii="Arial" w:hAnsi="Arial" w:cs="Arial"/>
          <w:sz w:val="20"/>
          <w:szCs w:val="20"/>
        </w:rPr>
        <w:t xml:space="preserve">L’analyse </w:t>
      </w:r>
      <w:r w:rsidR="00BD0AC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es politiques</w:t>
      </w:r>
      <w:r w:rsidR="006134A0">
        <w:rPr>
          <w:rFonts w:ascii="Arial" w:hAnsi="Arial" w:cs="Arial"/>
          <w:sz w:val="20"/>
          <w:szCs w:val="20"/>
        </w:rPr>
        <w:t xml:space="preserve"> nationales et européennes</w:t>
      </w:r>
      <w:r>
        <w:rPr>
          <w:rFonts w:ascii="Arial" w:hAnsi="Arial" w:cs="Arial"/>
          <w:sz w:val="20"/>
          <w:szCs w:val="20"/>
        </w:rPr>
        <w:t xml:space="preserve"> permettrait de </w:t>
      </w:r>
      <w:r w:rsidR="00BD0ACE">
        <w:rPr>
          <w:rFonts w:ascii="Arial" w:hAnsi="Arial" w:cs="Arial"/>
          <w:sz w:val="20"/>
          <w:szCs w:val="20"/>
        </w:rPr>
        <w:t>mieux comprendre la nature et les conditions de cette relance</w:t>
      </w:r>
      <w:r w:rsidR="002B4CF6">
        <w:rPr>
          <w:rFonts w:ascii="Arial" w:hAnsi="Arial" w:cs="Arial"/>
          <w:sz w:val="20"/>
          <w:szCs w:val="20"/>
        </w:rPr>
        <w:t xml:space="preserve"> et le déplacement de l’équilibre entre </w:t>
      </w:r>
      <w:r w:rsidR="004863B1">
        <w:rPr>
          <w:rFonts w:ascii="Arial" w:hAnsi="Arial" w:cs="Arial"/>
          <w:sz w:val="20"/>
          <w:szCs w:val="20"/>
        </w:rPr>
        <w:t xml:space="preserve">le recourt aux mécanismes de marché et </w:t>
      </w:r>
      <w:r w:rsidR="0017596F">
        <w:rPr>
          <w:rFonts w:ascii="Arial" w:hAnsi="Arial" w:cs="Arial"/>
          <w:sz w:val="20"/>
          <w:szCs w:val="20"/>
        </w:rPr>
        <w:t xml:space="preserve">la </w:t>
      </w:r>
      <w:r w:rsidR="003E4F50">
        <w:rPr>
          <w:rFonts w:ascii="Arial" w:hAnsi="Arial" w:cs="Arial"/>
          <w:sz w:val="20"/>
          <w:szCs w:val="20"/>
        </w:rPr>
        <w:t>construction d’</w:t>
      </w:r>
      <w:r w:rsidR="004863B1">
        <w:rPr>
          <w:rFonts w:ascii="Arial" w:hAnsi="Arial" w:cs="Arial"/>
          <w:sz w:val="20"/>
          <w:szCs w:val="20"/>
        </w:rPr>
        <w:t>« espaces protégés</w:t>
      </w:r>
      <w:r w:rsidR="0030068B">
        <w:rPr>
          <w:rFonts w:ascii="Arial" w:hAnsi="Arial" w:cs="Arial"/>
          <w:sz w:val="20"/>
          <w:szCs w:val="20"/>
        </w:rPr>
        <w:t> »</w:t>
      </w:r>
      <w:r w:rsidR="0017596F">
        <w:rPr>
          <w:rFonts w:ascii="Arial" w:hAnsi="Arial" w:cs="Arial"/>
          <w:sz w:val="20"/>
          <w:szCs w:val="20"/>
        </w:rPr>
        <w:t xml:space="preserve"> </w:t>
      </w:r>
      <w:r w:rsidR="00122697" w:rsidRPr="0017596F">
        <w:rPr>
          <w:rFonts w:ascii="Arial" w:hAnsi="Arial" w:cs="Arial"/>
          <w:sz w:val="20"/>
        </w:rPr>
        <w:t>(Raven et al. 2016</w:t>
      </w:r>
      <w:r w:rsidR="00122697">
        <w:rPr>
          <w:rFonts w:ascii="Arial" w:hAnsi="Arial" w:cs="Arial"/>
          <w:sz w:val="20"/>
        </w:rPr>
        <w:t xml:space="preserve">) </w:t>
      </w:r>
      <w:r w:rsidR="0017596F">
        <w:rPr>
          <w:rFonts w:ascii="Arial" w:hAnsi="Arial" w:cs="Arial"/>
          <w:sz w:val="20"/>
          <w:szCs w:val="20"/>
        </w:rPr>
        <w:t>par des interventions plus directes</w:t>
      </w:r>
      <w:r w:rsidR="004863B1">
        <w:rPr>
          <w:rFonts w:ascii="Arial" w:hAnsi="Arial" w:cs="Arial"/>
          <w:sz w:val="20"/>
          <w:szCs w:val="20"/>
        </w:rPr>
        <w:t xml:space="preserve"> </w:t>
      </w:r>
      <w:r w:rsidR="00122697">
        <w:rPr>
          <w:rFonts w:ascii="Arial" w:hAnsi="Arial" w:cs="Arial"/>
          <w:sz w:val="20"/>
        </w:rPr>
        <w:t>(</w:t>
      </w:r>
      <w:r w:rsidR="0017596F" w:rsidRPr="0017596F">
        <w:rPr>
          <w:rFonts w:ascii="Arial" w:hAnsi="Arial" w:cs="Arial"/>
          <w:sz w:val="20"/>
        </w:rPr>
        <w:t>Lauber et Jacobsson 2016; Lauber et Schenner 2011)</w:t>
      </w:r>
      <w:r w:rsidR="002B4CF6">
        <w:rPr>
          <w:rFonts w:ascii="Arial" w:hAnsi="Arial" w:cs="Arial"/>
          <w:sz w:val="20"/>
          <w:szCs w:val="20"/>
        </w:rPr>
        <w:t>.</w:t>
      </w:r>
      <w:r w:rsidR="007F3D36">
        <w:rPr>
          <w:rFonts w:ascii="Arial" w:hAnsi="Arial" w:cs="Arial"/>
          <w:sz w:val="20"/>
          <w:szCs w:val="20"/>
        </w:rPr>
        <w:t xml:space="preserve"> </w:t>
      </w:r>
    </w:p>
    <w:p w:rsidR="00A67346" w:rsidRDefault="00A67346" w:rsidP="002B6D28">
      <w:pPr>
        <w:shd w:val="clear" w:color="auto" w:fill="FFFFFF"/>
        <w:spacing w:beforeAutospacing="1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deu</w:t>
      </w:r>
      <w:r w:rsidR="00FD4920">
        <w:rPr>
          <w:rFonts w:ascii="Arial" w:hAnsi="Arial" w:cs="Arial"/>
          <w:sz w:val="20"/>
          <w:szCs w:val="20"/>
        </w:rPr>
        <w:t>xième débat porte sur les controverses concernant</w:t>
      </w:r>
      <w:r>
        <w:rPr>
          <w:rFonts w:ascii="Arial" w:hAnsi="Arial" w:cs="Arial"/>
          <w:sz w:val="20"/>
          <w:szCs w:val="20"/>
        </w:rPr>
        <w:t xml:space="preserve"> </w:t>
      </w:r>
      <w:r w:rsidR="00FD4920">
        <w:rPr>
          <w:rFonts w:ascii="Arial" w:hAnsi="Arial" w:cs="Arial"/>
          <w:sz w:val="20"/>
          <w:szCs w:val="20"/>
        </w:rPr>
        <w:t>l’évaluation des alternatives techniques au regard de leurs émissions de CO2. En effet, c</w:t>
      </w:r>
      <w:r>
        <w:rPr>
          <w:rFonts w:ascii="Arial" w:hAnsi="Arial" w:cs="Arial"/>
          <w:sz w:val="20"/>
          <w:szCs w:val="20"/>
        </w:rPr>
        <w:t>es controverses accroissent l’incertitude des politiques publiques, les mécanismes de marché comme les politiques de soutien ciblées</w:t>
      </w:r>
      <w:r w:rsidR="0044440C">
        <w:rPr>
          <w:rFonts w:ascii="Arial" w:hAnsi="Arial" w:cs="Arial"/>
          <w:sz w:val="20"/>
          <w:szCs w:val="20"/>
        </w:rPr>
        <w:t xml:space="preserve"> </w:t>
      </w:r>
      <w:r w:rsidR="0044440C" w:rsidRPr="0044440C">
        <w:rPr>
          <w:rFonts w:ascii="Arial" w:hAnsi="Arial" w:cs="Arial"/>
          <w:sz w:val="20"/>
        </w:rPr>
        <w:t>(Boucher 2012)</w:t>
      </w:r>
      <w:r>
        <w:rPr>
          <w:rFonts w:ascii="Arial" w:hAnsi="Arial" w:cs="Arial"/>
          <w:sz w:val="20"/>
          <w:szCs w:val="20"/>
        </w:rPr>
        <w:t>. Des politiques initialement plébiscitées comme les biocarburants ont été fortement restrei</w:t>
      </w:r>
      <w:r w:rsidR="00FD4920">
        <w:rPr>
          <w:rFonts w:ascii="Arial" w:hAnsi="Arial" w:cs="Arial"/>
          <w:sz w:val="20"/>
          <w:szCs w:val="20"/>
        </w:rPr>
        <w:t xml:space="preserve">ntes suite aux modifications des méthodes de calcul de leur impact </w:t>
      </w:r>
      <w:r w:rsidRPr="00A67346">
        <w:rPr>
          <w:rFonts w:ascii="Arial" w:hAnsi="Arial" w:cs="Arial"/>
          <w:sz w:val="20"/>
        </w:rPr>
        <w:t>(Laurent 2015)</w:t>
      </w:r>
      <w:r>
        <w:rPr>
          <w:rFonts w:ascii="Arial" w:hAnsi="Arial" w:cs="Arial"/>
          <w:sz w:val="20"/>
          <w:szCs w:val="20"/>
        </w:rPr>
        <w:t xml:space="preserve">. </w:t>
      </w:r>
      <w:r w:rsidR="0044440C">
        <w:rPr>
          <w:rFonts w:ascii="Arial" w:hAnsi="Arial" w:cs="Arial"/>
          <w:sz w:val="20"/>
          <w:szCs w:val="20"/>
        </w:rPr>
        <w:t>Or de très nombreuses initiatives en cours (comme la certification de l’hydrogène</w:t>
      </w:r>
      <w:r w:rsidR="0030068B">
        <w:rPr>
          <w:rFonts w:ascii="Arial" w:hAnsi="Arial" w:cs="Arial"/>
          <w:sz w:val="20"/>
          <w:szCs w:val="20"/>
        </w:rPr>
        <w:t xml:space="preserve"> ou la valorisation des biocarburants</w:t>
      </w:r>
      <w:r w:rsidR="0044440C">
        <w:rPr>
          <w:rFonts w:ascii="Arial" w:hAnsi="Arial" w:cs="Arial"/>
          <w:sz w:val="20"/>
          <w:szCs w:val="20"/>
        </w:rPr>
        <w:t>) présentent des fragilités similaires.</w:t>
      </w:r>
    </w:p>
    <w:p w:rsidR="00A67346" w:rsidRDefault="00A67346" w:rsidP="00A67346">
      <w:pPr>
        <w:shd w:val="clear" w:color="auto" w:fill="FFFFFF"/>
        <w:spacing w:beforeAutospacing="1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Le troisième </w:t>
      </w:r>
      <w:r w:rsidR="00995822">
        <w:rPr>
          <w:rFonts w:ascii="Arial" w:hAnsi="Arial" w:cs="Arial"/>
          <w:sz w:val="20"/>
          <w:szCs w:val="20"/>
        </w:rPr>
        <w:t>débat s’intéresse aux anticipations économiques</w:t>
      </w:r>
      <w:r w:rsidR="00BD0ACE">
        <w:rPr>
          <w:rFonts w:ascii="Arial" w:hAnsi="Arial" w:cs="Arial"/>
          <w:sz w:val="20"/>
          <w:szCs w:val="20"/>
        </w:rPr>
        <w:t xml:space="preserve"> </w:t>
      </w:r>
      <w:r w:rsidR="00BD0ACE" w:rsidRPr="00BD0ACE">
        <w:rPr>
          <w:rFonts w:ascii="Arial" w:hAnsi="Arial" w:cs="Arial"/>
          <w:sz w:val="20"/>
        </w:rPr>
        <w:t>(Beckert 2016)</w:t>
      </w:r>
      <w:r w:rsidR="006134A0">
        <w:rPr>
          <w:rFonts w:ascii="Arial" w:hAnsi="Arial" w:cs="Arial"/>
          <w:sz w:val="20"/>
          <w:szCs w:val="20"/>
        </w:rPr>
        <w:t xml:space="preserve"> et </w:t>
      </w:r>
      <w:r w:rsidR="00AF31E5">
        <w:rPr>
          <w:rFonts w:ascii="Arial" w:hAnsi="Arial" w:cs="Arial"/>
          <w:sz w:val="20"/>
          <w:szCs w:val="20"/>
        </w:rPr>
        <w:t xml:space="preserve">aux promesses </w:t>
      </w:r>
      <w:r w:rsidR="006134A0">
        <w:rPr>
          <w:rFonts w:ascii="Arial" w:hAnsi="Arial" w:cs="Arial"/>
          <w:sz w:val="20"/>
          <w:szCs w:val="20"/>
        </w:rPr>
        <w:t>technologiques</w:t>
      </w:r>
      <w:r w:rsidR="00FE2051">
        <w:rPr>
          <w:rFonts w:ascii="Arial" w:hAnsi="Arial" w:cs="Arial"/>
          <w:sz w:val="20"/>
          <w:szCs w:val="20"/>
        </w:rPr>
        <w:t xml:space="preserve"> </w:t>
      </w:r>
      <w:r w:rsidR="002B4CF6" w:rsidRPr="002B4CF6">
        <w:rPr>
          <w:rFonts w:ascii="Arial" w:hAnsi="Arial" w:cs="Arial"/>
          <w:sz w:val="20"/>
        </w:rPr>
        <w:t>(Sovacool et Ramana 2015; Bakker 2011)</w:t>
      </w:r>
      <w:r w:rsidR="002B4CF6">
        <w:rPr>
          <w:rFonts w:ascii="Arial" w:hAnsi="Arial" w:cs="Arial"/>
          <w:sz w:val="20"/>
          <w:szCs w:val="20"/>
        </w:rPr>
        <w:t xml:space="preserve">. </w:t>
      </w:r>
      <w:r w:rsidR="00995822">
        <w:rPr>
          <w:rFonts w:ascii="Arial" w:hAnsi="Arial" w:cs="Arial"/>
          <w:sz w:val="20"/>
          <w:szCs w:val="20"/>
        </w:rPr>
        <w:t>Les entreprises industriel</w:t>
      </w:r>
      <w:r w:rsidR="008073FA">
        <w:rPr>
          <w:rFonts w:ascii="Arial" w:hAnsi="Arial" w:cs="Arial"/>
          <w:sz w:val="20"/>
          <w:szCs w:val="20"/>
        </w:rPr>
        <w:t>le</w:t>
      </w:r>
      <w:r w:rsidR="00995822">
        <w:rPr>
          <w:rFonts w:ascii="Arial" w:hAnsi="Arial" w:cs="Arial"/>
          <w:sz w:val="20"/>
          <w:szCs w:val="20"/>
        </w:rPr>
        <w:t xml:space="preserve">s </w:t>
      </w:r>
      <w:r w:rsidR="00AF31E5">
        <w:rPr>
          <w:rFonts w:ascii="Arial" w:hAnsi="Arial" w:cs="Arial"/>
          <w:sz w:val="20"/>
          <w:szCs w:val="20"/>
        </w:rPr>
        <w:t>c</w:t>
      </w:r>
      <w:r w:rsidR="008073FA">
        <w:rPr>
          <w:rFonts w:ascii="Arial" w:hAnsi="Arial" w:cs="Arial"/>
          <w:sz w:val="20"/>
          <w:szCs w:val="20"/>
        </w:rPr>
        <w:t xml:space="preserve">ommencent à </w:t>
      </w:r>
      <w:r w:rsidR="00FE2051">
        <w:rPr>
          <w:rFonts w:ascii="Arial" w:hAnsi="Arial" w:cs="Arial"/>
          <w:sz w:val="20"/>
          <w:szCs w:val="20"/>
        </w:rPr>
        <w:t>établir</w:t>
      </w:r>
      <w:r w:rsidR="008073FA">
        <w:rPr>
          <w:rFonts w:ascii="Arial" w:hAnsi="Arial" w:cs="Arial"/>
          <w:sz w:val="20"/>
          <w:szCs w:val="20"/>
        </w:rPr>
        <w:t xml:space="preserve"> une trajectoire de réduction de leurs émissions</w:t>
      </w:r>
      <w:r w:rsidR="00AF31E5">
        <w:rPr>
          <w:rFonts w:ascii="Arial" w:hAnsi="Arial" w:cs="Arial"/>
          <w:sz w:val="20"/>
          <w:szCs w:val="20"/>
        </w:rPr>
        <w:t xml:space="preserve"> de GES et </w:t>
      </w:r>
      <w:r w:rsidR="00FE2051">
        <w:rPr>
          <w:rFonts w:ascii="Arial" w:hAnsi="Arial" w:cs="Arial"/>
          <w:sz w:val="20"/>
          <w:szCs w:val="20"/>
        </w:rPr>
        <w:t>à investir</w:t>
      </w:r>
      <w:r w:rsidR="00AF31E5">
        <w:rPr>
          <w:rFonts w:ascii="Arial" w:hAnsi="Arial" w:cs="Arial"/>
          <w:sz w:val="20"/>
          <w:szCs w:val="20"/>
        </w:rPr>
        <w:t xml:space="preserve"> dans le développement de nouvelles solutions techniques</w:t>
      </w:r>
      <w:r w:rsidR="008073FA">
        <w:rPr>
          <w:rFonts w:ascii="Arial" w:hAnsi="Arial" w:cs="Arial"/>
          <w:sz w:val="20"/>
          <w:szCs w:val="20"/>
        </w:rPr>
        <w:t xml:space="preserve">. L’anticipation stratégique des entreprises doit </w:t>
      </w:r>
      <w:r w:rsidR="00AF31E5">
        <w:rPr>
          <w:rFonts w:ascii="Arial" w:hAnsi="Arial" w:cs="Arial"/>
          <w:sz w:val="20"/>
          <w:szCs w:val="20"/>
        </w:rPr>
        <w:t xml:space="preserve">donc </w:t>
      </w:r>
      <w:r w:rsidR="008073FA">
        <w:rPr>
          <w:rFonts w:ascii="Arial" w:hAnsi="Arial" w:cs="Arial"/>
          <w:sz w:val="20"/>
          <w:szCs w:val="20"/>
        </w:rPr>
        <w:t>prendre en considération les i</w:t>
      </w:r>
      <w:r w:rsidR="00FE2051">
        <w:rPr>
          <w:rFonts w:ascii="Arial" w:hAnsi="Arial" w:cs="Arial"/>
          <w:sz w:val="20"/>
          <w:szCs w:val="20"/>
        </w:rPr>
        <w:t>ncertitudes de</w:t>
      </w:r>
      <w:r w:rsidR="0017596F">
        <w:rPr>
          <w:rFonts w:ascii="Arial" w:hAnsi="Arial" w:cs="Arial"/>
          <w:sz w:val="20"/>
          <w:szCs w:val="20"/>
        </w:rPr>
        <w:t>s politiques publiques</w:t>
      </w:r>
      <w:r w:rsidR="00122697">
        <w:rPr>
          <w:rFonts w:ascii="Arial" w:hAnsi="Arial" w:cs="Arial"/>
          <w:sz w:val="20"/>
          <w:szCs w:val="20"/>
        </w:rPr>
        <w:t xml:space="preserve"> </w:t>
      </w:r>
      <w:r w:rsidR="00FD4920" w:rsidRPr="00BD0ACE">
        <w:rPr>
          <w:rFonts w:ascii="Arial" w:hAnsi="Arial" w:cs="Arial"/>
          <w:sz w:val="20"/>
        </w:rPr>
        <w:t>(Sovacool, Baum, et Low 2023)</w:t>
      </w:r>
      <w:r w:rsidR="0017596F">
        <w:rPr>
          <w:rFonts w:ascii="Arial" w:hAnsi="Arial" w:cs="Arial"/>
          <w:sz w:val="20"/>
          <w:szCs w:val="20"/>
        </w:rPr>
        <w:t>, que les interventions</w:t>
      </w:r>
      <w:r w:rsidR="00FE2051">
        <w:rPr>
          <w:rFonts w:ascii="Arial" w:hAnsi="Arial" w:cs="Arial"/>
          <w:sz w:val="20"/>
          <w:szCs w:val="20"/>
        </w:rPr>
        <w:t xml:space="preserve"> soient génériques ou dédiées à certaines technologies</w:t>
      </w:r>
      <w:r w:rsidR="008073FA">
        <w:rPr>
          <w:rFonts w:ascii="Arial" w:hAnsi="Arial" w:cs="Arial"/>
          <w:sz w:val="20"/>
          <w:szCs w:val="20"/>
        </w:rPr>
        <w:t xml:space="preserve">. Ainsi, l’enjeu de ce projet sera de comprendre </w:t>
      </w:r>
      <w:r w:rsidR="002B4CF6">
        <w:rPr>
          <w:rFonts w:ascii="Arial" w:hAnsi="Arial" w:cs="Arial"/>
          <w:sz w:val="20"/>
          <w:szCs w:val="20"/>
        </w:rPr>
        <w:t>par</w:t>
      </w:r>
      <w:r w:rsidR="00AF31E5">
        <w:rPr>
          <w:rFonts w:ascii="Arial" w:hAnsi="Arial" w:cs="Arial"/>
          <w:sz w:val="20"/>
          <w:szCs w:val="20"/>
        </w:rPr>
        <w:t xml:space="preserve"> quels </w:t>
      </w:r>
      <w:r w:rsidR="002B4CF6">
        <w:rPr>
          <w:rFonts w:ascii="Arial" w:hAnsi="Arial" w:cs="Arial"/>
          <w:sz w:val="20"/>
          <w:szCs w:val="20"/>
        </w:rPr>
        <w:t>moyens</w:t>
      </w:r>
      <w:r w:rsidR="00AF31E5">
        <w:rPr>
          <w:rFonts w:ascii="Arial" w:hAnsi="Arial" w:cs="Arial"/>
          <w:sz w:val="20"/>
          <w:szCs w:val="20"/>
        </w:rPr>
        <w:t xml:space="preserve"> l</w:t>
      </w:r>
      <w:r w:rsidR="00CB2157">
        <w:rPr>
          <w:rFonts w:ascii="Arial" w:hAnsi="Arial" w:cs="Arial"/>
          <w:sz w:val="20"/>
          <w:szCs w:val="20"/>
        </w:rPr>
        <w:t>es entreprises parviennent</w:t>
      </w:r>
      <w:r w:rsidR="00AF31E5">
        <w:rPr>
          <w:rFonts w:ascii="Arial" w:hAnsi="Arial" w:cs="Arial"/>
          <w:sz w:val="20"/>
          <w:szCs w:val="20"/>
        </w:rPr>
        <w:t xml:space="preserve"> à</w:t>
      </w:r>
      <w:r w:rsidR="00CB2157">
        <w:rPr>
          <w:rFonts w:ascii="Arial" w:hAnsi="Arial" w:cs="Arial"/>
          <w:sz w:val="20"/>
          <w:szCs w:val="20"/>
        </w:rPr>
        <w:t xml:space="preserve"> anticiper l’action publique </w:t>
      </w:r>
      <w:r w:rsidR="00AF31E5">
        <w:rPr>
          <w:rFonts w:ascii="Arial" w:hAnsi="Arial" w:cs="Arial"/>
          <w:sz w:val="20"/>
          <w:szCs w:val="20"/>
        </w:rPr>
        <w:t xml:space="preserve">et ses effets économiques, et comment </w:t>
      </w:r>
      <w:r w:rsidR="00CB2157">
        <w:rPr>
          <w:rFonts w:ascii="Arial" w:hAnsi="Arial" w:cs="Arial"/>
          <w:sz w:val="20"/>
          <w:szCs w:val="20"/>
        </w:rPr>
        <w:t xml:space="preserve">elles </w:t>
      </w:r>
      <w:r w:rsidR="00FE2051">
        <w:rPr>
          <w:rFonts w:ascii="Arial" w:hAnsi="Arial" w:cs="Arial"/>
          <w:sz w:val="20"/>
          <w:szCs w:val="20"/>
        </w:rPr>
        <w:t xml:space="preserve">contribuent </w:t>
      </w:r>
      <w:r w:rsidR="00AF31E5">
        <w:rPr>
          <w:rFonts w:ascii="Arial" w:hAnsi="Arial" w:cs="Arial"/>
          <w:sz w:val="20"/>
          <w:szCs w:val="20"/>
        </w:rPr>
        <w:t xml:space="preserve">par leur </w:t>
      </w:r>
      <w:r w:rsidR="008073FA">
        <w:rPr>
          <w:rFonts w:ascii="Arial" w:hAnsi="Arial" w:cs="Arial"/>
          <w:sz w:val="20"/>
          <w:szCs w:val="20"/>
        </w:rPr>
        <w:t>influence</w:t>
      </w:r>
      <w:r w:rsidR="00AF31E5">
        <w:rPr>
          <w:rFonts w:ascii="Arial" w:hAnsi="Arial" w:cs="Arial"/>
          <w:sz w:val="20"/>
          <w:szCs w:val="20"/>
        </w:rPr>
        <w:t xml:space="preserve"> à l’évolution de l’action publique</w:t>
      </w:r>
      <w:r w:rsidR="008073FA">
        <w:rPr>
          <w:rFonts w:ascii="Arial" w:hAnsi="Arial" w:cs="Arial"/>
          <w:sz w:val="20"/>
          <w:szCs w:val="20"/>
        </w:rPr>
        <w:t xml:space="preserve"> </w:t>
      </w:r>
      <w:r w:rsidR="002B4CF6" w:rsidRPr="00FE2051">
        <w:rPr>
          <w:rFonts w:ascii="Arial" w:hAnsi="Arial" w:cs="Arial"/>
          <w:sz w:val="20"/>
        </w:rPr>
        <w:t>(Konrad 2010)</w:t>
      </w:r>
      <w:r w:rsidR="002B4CF6">
        <w:rPr>
          <w:rFonts w:ascii="Arial" w:hAnsi="Arial" w:cs="Arial"/>
          <w:sz w:val="20"/>
          <w:szCs w:val="20"/>
        </w:rPr>
        <w:t>.</w:t>
      </w:r>
      <w:r w:rsidRPr="00A67346">
        <w:rPr>
          <w:rFonts w:ascii="Arial" w:hAnsi="Arial" w:cs="Arial"/>
          <w:sz w:val="20"/>
          <w:szCs w:val="20"/>
        </w:rPr>
        <w:t xml:space="preserve"> </w:t>
      </w:r>
    </w:p>
    <w:p w:rsidR="00BD0ACE" w:rsidRDefault="00FD4920" w:rsidP="002B4CF6">
      <w:pPr>
        <w:shd w:val="clear" w:color="auto" w:fill="FFFFFF"/>
        <w:spacing w:beforeAutospacing="1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BD0ACE">
        <w:rPr>
          <w:rFonts w:ascii="Arial" w:hAnsi="Arial" w:cs="Arial"/>
          <w:sz w:val="20"/>
          <w:szCs w:val="20"/>
        </w:rPr>
        <w:t xml:space="preserve"> projet</w:t>
      </w:r>
      <w:r>
        <w:rPr>
          <w:rFonts w:ascii="Arial" w:hAnsi="Arial" w:cs="Arial"/>
          <w:sz w:val="20"/>
          <w:szCs w:val="20"/>
        </w:rPr>
        <w:t xml:space="preserve"> de thèse </w:t>
      </w:r>
      <w:r w:rsidR="00F8722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ou de post-doc</w:t>
      </w:r>
      <w:r w:rsidR="00F8722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aura pour ambition de contribuer à un ou plusieurs de ces débats et sera</w:t>
      </w:r>
      <w:r w:rsidR="00BD0ACE">
        <w:rPr>
          <w:rFonts w:ascii="Arial" w:hAnsi="Arial" w:cs="Arial"/>
          <w:sz w:val="20"/>
          <w:szCs w:val="20"/>
        </w:rPr>
        <w:t xml:space="preserve"> décliné au</w:t>
      </w:r>
      <w:r w:rsidR="00A67346">
        <w:rPr>
          <w:rFonts w:ascii="Arial" w:hAnsi="Arial" w:cs="Arial"/>
          <w:sz w:val="20"/>
          <w:szCs w:val="20"/>
        </w:rPr>
        <w:t>tour de certaines activités industrielles</w:t>
      </w:r>
      <w:r w:rsidR="00BD0ACE">
        <w:rPr>
          <w:rFonts w:ascii="Arial" w:hAnsi="Arial" w:cs="Arial"/>
          <w:sz w:val="20"/>
          <w:szCs w:val="20"/>
        </w:rPr>
        <w:t xml:space="preserve"> émettrices de GES </w:t>
      </w:r>
      <w:r>
        <w:rPr>
          <w:rFonts w:ascii="Arial" w:hAnsi="Arial" w:cs="Arial"/>
          <w:sz w:val="20"/>
          <w:szCs w:val="20"/>
        </w:rPr>
        <w:t>ou à propos de</w:t>
      </w:r>
      <w:r w:rsidR="00BD0ACE">
        <w:rPr>
          <w:rFonts w:ascii="Arial" w:hAnsi="Arial" w:cs="Arial"/>
          <w:sz w:val="20"/>
          <w:szCs w:val="20"/>
        </w:rPr>
        <w:t xml:space="preserve"> technologies comme la capture de CO2 pour l’enfouissement ou la réutilisation</w:t>
      </w:r>
      <w:r w:rsidR="00F937E7">
        <w:rPr>
          <w:rFonts w:ascii="Arial" w:hAnsi="Arial" w:cs="Arial"/>
          <w:sz w:val="20"/>
          <w:szCs w:val="20"/>
        </w:rPr>
        <w:t>, la production de carburants de synthèse..</w:t>
      </w:r>
      <w:r w:rsidR="00BD0ACE">
        <w:rPr>
          <w:rFonts w:ascii="Arial" w:hAnsi="Arial" w:cs="Arial"/>
          <w:sz w:val="20"/>
          <w:szCs w:val="20"/>
        </w:rPr>
        <w:t xml:space="preserve">. </w:t>
      </w:r>
    </w:p>
    <w:p w:rsidR="0031620A" w:rsidRPr="00252D7B" w:rsidRDefault="00C93ADD">
      <w:pPr>
        <w:pStyle w:val="Corpsdetexte"/>
        <w:jc w:val="both"/>
        <w:rPr>
          <w:rFonts w:ascii="Arial" w:eastAsia="Times New Roman" w:hAnsi="Arial" w:cs="Arial"/>
          <w:sz w:val="20"/>
          <w:szCs w:val="20"/>
        </w:rPr>
      </w:pPr>
      <w:r>
        <w:rPr>
          <w:b/>
        </w:rPr>
        <w:t xml:space="preserve">Mots clés : </w:t>
      </w:r>
      <w:r w:rsidR="00F17499" w:rsidRPr="00252D7B">
        <w:rPr>
          <w:rFonts w:ascii="Arial" w:eastAsia="Times New Roman" w:hAnsi="Arial" w:cs="Arial"/>
          <w:sz w:val="20"/>
          <w:szCs w:val="20"/>
        </w:rPr>
        <w:t>politique industrielle ;</w:t>
      </w:r>
      <w:r w:rsidR="00AA31BE" w:rsidRPr="00252D7B">
        <w:rPr>
          <w:rFonts w:ascii="Arial" w:eastAsia="Times New Roman" w:hAnsi="Arial" w:cs="Arial"/>
          <w:sz w:val="20"/>
          <w:szCs w:val="20"/>
        </w:rPr>
        <w:t xml:space="preserve"> politique climatique,</w:t>
      </w:r>
      <w:r w:rsidR="00FE2051">
        <w:rPr>
          <w:rFonts w:ascii="Arial" w:eastAsia="Times New Roman" w:hAnsi="Arial" w:cs="Arial"/>
          <w:sz w:val="20"/>
          <w:szCs w:val="20"/>
        </w:rPr>
        <w:t xml:space="preserve"> </w:t>
      </w:r>
      <w:r w:rsidR="00AA31BE" w:rsidRPr="00252D7B">
        <w:rPr>
          <w:rFonts w:ascii="Arial" w:eastAsia="Times New Roman" w:hAnsi="Arial" w:cs="Arial"/>
          <w:sz w:val="20"/>
          <w:szCs w:val="20"/>
        </w:rPr>
        <w:t>instruments</w:t>
      </w:r>
      <w:r w:rsidR="00FE2051">
        <w:rPr>
          <w:rFonts w:ascii="Arial" w:eastAsia="Times New Roman" w:hAnsi="Arial" w:cs="Arial"/>
          <w:sz w:val="20"/>
          <w:szCs w:val="20"/>
        </w:rPr>
        <w:t xml:space="preserve"> d’action publique</w:t>
      </w:r>
      <w:r w:rsidR="00AF31E5">
        <w:rPr>
          <w:rFonts w:ascii="Arial" w:eastAsia="Times New Roman" w:hAnsi="Arial" w:cs="Arial"/>
          <w:sz w:val="20"/>
          <w:szCs w:val="20"/>
        </w:rPr>
        <w:t>, anticipations économiques, pro</w:t>
      </w:r>
      <w:r w:rsidR="00FE2051">
        <w:rPr>
          <w:rFonts w:ascii="Arial" w:eastAsia="Times New Roman" w:hAnsi="Arial" w:cs="Arial"/>
          <w:sz w:val="20"/>
          <w:szCs w:val="20"/>
        </w:rPr>
        <w:t>messes technologiques, expertise économique</w:t>
      </w:r>
    </w:p>
    <w:p w:rsidR="0031620A" w:rsidRDefault="00C93ADD" w:rsidP="005C0787">
      <w:pPr>
        <w:pStyle w:val="Corpsdetexte"/>
        <w:jc w:val="both"/>
      </w:pPr>
      <w:r>
        <w:rPr>
          <w:b/>
        </w:rPr>
        <w:t>Profil recherché :</w:t>
      </w:r>
      <w:r w:rsidR="00FE2051">
        <w:t xml:space="preserve"> </w:t>
      </w:r>
      <w:r w:rsidR="007F3D36">
        <w:t xml:space="preserve">idéalement, une solide formation en sociologie économique, </w:t>
      </w:r>
      <w:r w:rsidR="00122697">
        <w:t xml:space="preserve">en sociologie des techniques ou </w:t>
      </w:r>
      <w:r w:rsidR="007F3D36">
        <w:t xml:space="preserve">en sociologie de l’action publique, une bonne connaissance des politiques de lutte contre le changement climatique, un intérêt pour l’industrie. </w:t>
      </w:r>
    </w:p>
    <w:p w:rsidR="00F003AA" w:rsidRDefault="00F003AA" w:rsidP="00F003AA">
      <w:pPr>
        <w:pStyle w:val="Corpsdetexte"/>
        <w:jc w:val="both"/>
      </w:pPr>
      <w:r>
        <w:rPr>
          <w:b/>
        </w:rPr>
        <w:t>Procédure de</w:t>
      </w:r>
      <w:r w:rsidRPr="00F003AA">
        <w:rPr>
          <w:b/>
        </w:rPr>
        <w:t xml:space="preserve"> candidature</w:t>
      </w:r>
      <w:r>
        <w:t> </w:t>
      </w:r>
    </w:p>
    <w:p w:rsidR="00F003AA" w:rsidRDefault="00F003AA" w:rsidP="00F003AA">
      <w:pPr>
        <w:pStyle w:val="Corpsdetexte"/>
        <w:numPr>
          <w:ilvl w:val="0"/>
          <w:numId w:val="3"/>
        </w:numPr>
        <w:jc w:val="both"/>
      </w:pPr>
      <w:r>
        <w:t>Présélection sur dossier (date limite 1</w:t>
      </w:r>
      <w:r w:rsidRPr="00F003AA">
        <w:rPr>
          <w:vertAlign w:val="superscript"/>
        </w:rPr>
        <w:t>er</w:t>
      </w:r>
      <w:r>
        <w:t xml:space="preserve"> juin)</w:t>
      </w:r>
    </w:p>
    <w:p w:rsidR="00F003AA" w:rsidRDefault="00F003AA" w:rsidP="00F003AA">
      <w:pPr>
        <w:pStyle w:val="Corpsdetex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candidat</w:t>
      </w:r>
      <w:r w:rsidR="00122697"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>s pour un financement de thèse seront invité</w:t>
      </w:r>
      <w:r w:rsidR="00122697"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>s à envoyer leur CV, une lettre de motivation, leur mémoire de master</w:t>
      </w:r>
      <w:r w:rsidR="00122697">
        <w:rPr>
          <w:rFonts w:ascii="Arial" w:hAnsi="Arial" w:cs="Arial"/>
          <w:sz w:val="20"/>
          <w:szCs w:val="20"/>
        </w:rPr>
        <w:t xml:space="preserve"> (si terminé)</w:t>
      </w:r>
      <w:r>
        <w:rPr>
          <w:rFonts w:ascii="Arial" w:hAnsi="Arial" w:cs="Arial"/>
          <w:sz w:val="20"/>
          <w:szCs w:val="20"/>
        </w:rPr>
        <w:t>. Les candidat</w:t>
      </w:r>
      <w:r w:rsidR="00122697"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>s à un post-doc, leur mémoire de thèse, le rapport du jury ainsi que les publications. Nous vous encourageons à envoyer votre candidature dès que possible. La date limite est fixée le 1</w:t>
      </w:r>
      <w:r w:rsidRPr="00F003AA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juin.</w:t>
      </w:r>
    </w:p>
    <w:p w:rsidR="00F003AA" w:rsidRDefault="00F003AA" w:rsidP="00F003AA">
      <w:pPr>
        <w:pStyle w:val="Corpsdetex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Audition (mi-juin) </w:t>
      </w:r>
    </w:p>
    <w:p w:rsidR="00F003AA" w:rsidRPr="00F003AA" w:rsidRDefault="00F003AA" w:rsidP="00F003AA">
      <w:pPr>
        <w:spacing w:beforeAutospacing="1" w:afterAutospacing="1"/>
        <w:jc w:val="both"/>
        <w:rPr>
          <w:rFonts w:ascii="Arial" w:hAnsi="Arial" w:cs="Arial"/>
          <w:sz w:val="20"/>
          <w:szCs w:val="20"/>
        </w:rPr>
      </w:pPr>
      <w:r w:rsidRPr="00F003AA">
        <w:rPr>
          <w:rFonts w:ascii="Arial" w:hAnsi="Arial" w:cs="Arial"/>
          <w:sz w:val="20"/>
          <w:szCs w:val="20"/>
        </w:rPr>
        <w:t>Les candidat</w:t>
      </w:r>
      <w:r w:rsidR="00CB2157">
        <w:rPr>
          <w:rFonts w:ascii="Arial" w:hAnsi="Arial" w:cs="Arial"/>
          <w:sz w:val="20"/>
          <w:szCs w:val="20"/>
        </w:rPr>
        <w:t>(e)</w:t>
      </w:r>
      <w:r w:rsidRPr="00F003AA">
        <w:rPr>
          <w:rFonts w:ascii="Arial" w:hAnsi="Arial" w:cs="Arial"/>
          <w:sz w:val="20"/>
          <w:szCs w:val="20"/>
        </w:rPr>
        <w:t>s sélectionné</w:t>
      </w:r>
      <w:r w:rsidR="00CB2157">
        <w:rPr>
          <w:rFonts w:ascii="Arial" w:hAnsi="Arial" w:cs="Arial"/>
          <w:sz w:val="20"/>
          <w:szCs w:val="20"/>
        </w:rPr>
        <w:t>(e)</w:t>
      </w:r>
      <w:r w:rsidRPr="00F003AA">
        <w:rPr>
          <w:rFonts w:ascii="Arial" w:hAnsi="Arial" w:cs="Arial"/>
          <w:sz w:val="20"/>
          <w:szCs w:val="20"/>
        </w:rPr>
        <w:t>s seront invité</w:t>
      </w:r>
      <w:r w:rsidR="00CB2157">
        <w:rPr>
          <w:rFonts w:ascii="Arial" w:hAnsi="Arial" w:cs="Arial"/>
          <w:sz w:val="20"/>
          <w:szCs w:val="20"/>
        </w:rPr>
        <w:t>(e)</w:t>
      </w:r>
      <w:r w:rsidRPr="00F003AA">
        <w:rPr>
          <w:rFonts w:ascii="Arial" w:hAnsi="Arial" w:cs="Arial"/>
          <w:sz w:val="20"/>
          <w:szCs w:val="20"/>
        </w:rPr>
        <w:t>s à présenter un projet de recherche à l’oral. Le proj</w:t>
      </w:r>
      <w:r w:rsidR="00CB2157">
        <w:rPr>
          <w:rFonts w:ascii="Arial" w:hAnsi="Arial" w:cs="Arial"/>
          <w:sz w:val="20"/>
          <w:szCs w:val="20"/>
        </w:rPr>
        <w:t>et pourra</w:t>
      </w:r>
      <w:r>
        <w:rPr>
          <w:rFonts w:ascii="Arial" w:hAnsi="Arial" w:cs="Arial"/>
          <w:sz w:val="20"/>
          <w:szCs w:val="20"/>
        </w:rPr>
        <w:t xml:space="preserve"> s’inscrire dans un des cadres problématique</w:t>
      </w:r>
      <w:r w:rsidRPr="00F003AA">
        <w:rPr>
          <w:rFonts w:ascii="Arial" w:hAnsi="Arial" w:cs="Arial"/>
          <w:sz w:val="20"/>
          <w:szCs w:val="20"/>
        </w:rPr>
        <w:t xml:space="preserve">s évoqués ci-dessus. </w:t>
      </w:r>
    </w:p>
    <w:p w:rsidR="00F003AA" w:rsidRPr="00F003AA" w:rsidRDefault="00F003AA" w:rsidP="00F003AA">
      <w:pPr>
        <w:pStyle w:val="Corpsdetex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Résultat de la sélection (fin juin</w:t>
      </w:r>
      <w:r w:rsidR="00F937E7">
        <w:rPr>
          <w:rFonts w:ascii="Arial" w:hAnsi="Arial" w:cs="Arial"/>
          <w:sz w:val="20"/>
          <w:szCs w:val="20"/>
        </w:rPr>
        <w:t>-début juillet</w:t>
      </w:r>
      <w:r>
        <w:rPr>
          <w:rFonts w:ascii="Arial" w:hAnsi="Arial" w:cs="Arial"/>
          <w:sz w:val="20"/>
          <w:szCs w:val="20"/>
        </w:rPr>
        <w:t>)</w:t>
      </w:r>
    </w:p>
    <w:p w:rsidR="0031620A" w:rsidRPr="002B4CF6" w:rsidRDefault="00BB6F05" w:rsidP="00C608BB">
      <w:pPr>
        <w:shd w:val="clear" w:color="auto" w:fill="FFFFFF"/>
        <w:spacing w:beforeAutospacing="1" w:afterAutospacing="1"/>
        <w:rPr>
          <w:rFonts w:ascii="Arial" w:hAnsi="Arial" w:cs="Arial"/>
          <w:b/>
          <w:bCs/>
          <w:sz w:val="20"/>
          <w:szCs w:val="20"/>
          <w:lang w:val="en-US"/>
        </w:rPr>
      </w:pPr>
      <w:r w:rsidRPr="002B4CF6">
        <w:rPr>
          <w:rFonts w:ascii="Arial" w:hAnsi="Arial" w:cs="Arial"/>
          <w:b/>
          <w:bCs/>
          <w:sz w:val="20"/>
          <w:szCs w:val="20"/>
          <w:lang w:val="en-US"/>
        </w:rPr>
        <w:t>Contact</w:t>
      </w:r>
      <w:r w:rsidR="00C93ADD" w:rsidRPr="002B4CF6">
        <w:rPr>
          <w:rFonts w:ascii="Arial" w:hAnsi="Arial" w:cs="Arial"/>
          <w:b/>
          <w:bCs/>
          <w:sz w:val="20"/>
          <w:szCs w:val="20"/>
          <w:lang w:val="en-US"/>
        </w:rPr>
        <w:t xml:space="preserve"> : </w:t>
      </w:r>
      <w:r w:rsidR="00AF31E5" w:rsidRPr="002B4CF6">
        <w:rPr>
          <w:rFonts w:ascii="Arial" w:hAnsi="Arial" w:cs="Arial"/>
          <w:b/>
          <w:bCs/>
          <w:sz w:val="20"/>
          <w:szCs w:val="20"/>
          <w:lang w:val="en-US"/>
        </w:rPr>
        <w:t>Thomas Reverdy</w:t>
      </w:r>
      <w:r w:rsidR="00F003AA">
        <w:rPr>
          <w:rFonts w:ascii="Arial" w:hAnsi="Arial" w:cs="Arial"/>
          <w:b/>
          <w:bCs/>
          <w:sz w:val="20"/>
          <w:szCs w:val="20"/>
          <w:lang w:val="en-US"/>
        </w:rPr>
        <w:t xml:space="preserve"> thomas.reverdy@grenoble-inp.fr</w:t>
      </w:r>
    </w:p>
    <w:p w:rsidR="0044440C" w:rsidRPr="0044440C" w:rsidRDefault="0044440C" w:rsidP="0044440C">
      <w:pPr>
        <w:pStyle w:val="Bibliographie"/>
        <w:rPr>
          <w:sz w:val="20"/>
          <w:lang w:val="en-US"/>
        </w:rPr>
      </w:pPr>
      <w:r w:rsidRPr="0044440C">
        <w:rPr>
          <w:sz w:val="20"/>
          <w:lang w:val="en-US"/>
        </w:rPr>
        <w:t xml:space="preserve">Bakker, Sjoerd. 2011. </w:t>
      </w:r>
      <w:r w:rsidRPr="0044440C">
        <w:rPr>
          <w:i/>
          <w:iCs/>
          <w:sz w:val="20"/>
          <w:lang w:val="en-US"/>
        </w:rPr>
        <w:t>Competing expectations: the case of the hydrogen car</w:t>
      </w:r>
      <w:r w:rsidRPr="0044440C">
        <w:rPr>
          <w:sz w:val="20"/>
          <w:lang w:val="en-US"/>
        </w:rPr>
        <w:t>. Uitgeverij BOXPress.</w:t>
      </w:r>
    </w:p>
    <w:p w:rsidR="0044440C" w:rsidRPr="0044440C" w:rsidRDefault="0044440C" w:rsidP="0044440C">
      <w:pPr>
        <w:pStyle w:val="Bibliographie"/>
        <w:rPr>
          <w:sz w:val="20"/>
          <w:lang w:val="en-US"/>
        </w:rPr>
      </w:pPr>
      <w:r w:rsidRPr="0044440C">
        <w:rPr>
          <w:sz w:val="20"/>
          <w:lang w:val="en-US"/>
        </w:rPr>
        <w:t xml:space="preserve">Beckert, Jens. 2016. </w:t>
      </w:r>
      <w:r w:rsidRPr="0044440C">
        <w:rPr>
          <w:i/>
          <w:iCs/>
          <w:sz w:val="20"/>
          <w:lang w:val="en-US"/>
        </w:rPr>
        <w:t>Imagined futures: Fictional expectations and capitalist dynamics</w:t>
      </w:r>
      <w:r w:rsidRPr="0044440C">
        <w:rPr>
          <w:sz w:val="20"/>
          <w:lang w:val="en-US"/>
        </w:rPr>
        <w:t>. Harvard University Press.</w:t>
      </w:r>
    </w:p>
    <w:p w:rsidR="0044440C" w:rsidRPr="0044440C" w:rsidRDefault="0044440C" w:rsidP="0044440C">
      <w:pPr>
        <w:pStyle w:val="Bibliographie"/>
        <w:rPr>
          <w:sz w:val="20"/>
          <w:lang w:val="en-US"/>
        </w:rPr>
      </w:pPr>
      <w:r w:rsidRPr="0044440C">
        <w:rPr>
          <w:sz w:val="20"/>
          <w:lang w:val="en-US"/>
        </w:rPr>
        <w:t xml:space="preserve">Boucher, Philip. 2012. « The role of controversy, regulation and engineering in UK biofuel development ». </w:t>
      </w:r>
      <w:r w:rsidRPr="0044440C">
        <w:rPr>
          <w:i/>
          <w:iCs/>
          <w:sz w:val="20"/>
          <w:lang w:val="en-US"/>
        </w:rPr>
        <w:t>Energy Policy</w:t>
      </w:r>
      <w:r w:rsidRPr="0044440C">
        <w:rPr>
          <w:sz w:val="20"/>
          <w:lang w:val="en-US"/>
        </w:rPr>
        <w:t xml:space="preserve"> 42: 148‑54.</w:t>
      </w:r>
    </w:p>
    <w:p w:rsidR="0044440C" w:rsidRPr="0044440C" w:rsidRDefault="0044440C" w:rsidP="0044440C">
      <w:pPr>
        <w:pStyle w:val="Bibliographie"/>
        <w:rPr>
          <w:sz w:val="20"/>
          <w:lang w:val="en-US"/>
        </w:rPr>
      </w:pPr>
      <w:r w:rsidRPr="0044440C">
        <w:rPr>
          <w:sz w:val="20"/>
          <w:lang w:val="en-US"/>
        </w:rPr>
        <w:t xml:space="preserve">Davies, William. 2013. « When is a market not a market?:‘Exemption’,‘externality’and ‘exception’in the case of European state aid rules ». </w:t>
      </w:r>
      <w:r w:rsidRPr="0044440C">
        <w:rPr>
          <w:i/>
          <w:iCs/>
          <w:sz w:val="20"/>
          <w:lang w:val="en-US"/>
        </w:rPr>
        <w:t>Theory, Culture &amp; Society</w:t>
      </w:r>
      <w:r w:rsidRPr="0044440C">
        <w:rPr>
          <w:sz w:val="20"/>
          <w:lang w:val="en-US"/>
        </w:rPr>
        <w:t xml:space="preserve"> 30 (2): 32‑59.</w:t>
      </w:r>
    </w:p>
    <w:p w:rsidR="0044440C" w:rsidRPr="0044440C" w:rsidRDefault="0044440C" w:rsidP="0044440C">
      <w:pPr>
        <w:pStyle w:val="Bibliographie"/>
        <w:rPr>
          <w:sz w:val="20"/>
          <w:lang w:val="en-US"/>
        </w:rPr>
      </w:pPr>
      <w:r w:rsidRPr="0044440C">
        <w:rPr>
          <w:sz w:val="20"/>
          <w:lang w:val="en-US"/>
        </w:rPr>
        <w:t xml:space="preserve">Konrad, Kornelia. 2010. « Governance of and by expectations ». </w:t>
      </w:r>
      <w:r w:rsidRPr="0044440C">
        <w:rPr>
          <w:i/>
          <w:iCs/>
          <w:sz w:val="20"/>
          <w:lang w:val="en-US"/>
        </w:rPr>
        <w:t>Tentative Governance in Emerging Science and Technology. Actor Constellations, Institutional Arrangements and Strategies. Enschede: University of Twente</w:t>
      </w:r>
      <w:r w:rsidRPr="0044440C">
        <w:rPr>
          <w:sz w:val="20"/>
          <w:lang w:val="en-US"/>
        </w:rPr>
        <w:t>, 67‑77.</w:t>
      </w:r>
    </w:p>
    <w:p w:rsidR="0044440C" w:rsidRPr="0044440C" w:rsidRDefault="0044440C" w:rsidP="0044440C">
      <w:pPr>
        <w:pStyle w:val="Bibliographie"/>
        <w:rPr>
          <w:sz w:val="20"/>
          <w:lang w:val="en-US"/>
        </w:rPr>
      </w:pPr>
      <w:r w:rsidRPr="0044440C">
        <w:rPr>
          <w:sz w:val="20"/>
        </w:rPr>
        <w:t xml:space="preserve">Lauber, Volkmar, et Staffan Jacobsson. </w:t>
      </w:r>
      <w:r w:rsidRPr="0044440C">
        <w:rPr>
          <w:sz w:val="20"/>
          <w:lang w:val="en-US"/>
        </w:rPr>
        <w:t xml:space="preserve">2016. « The politics and economics of constructing, contesting and restricting socio-political space for renewables–The German Renewable Energy Act ». </w:t>
      </w:r>
      <w:r w:rsidRPr="0044440C">
        <w:rPr>
          <w:i/>
          <w:iCs/>
          <w:sz w:val="20"/>
          <w:lang w:val="en-US"/>
        </w:rPr>
        <w:t>Environmental Innovation and Societal Transitions</w:t>
      </w:r>
      <w:r w:rsidRPr="0044440C">
        <w:rPr>
          <w:sz w:val="20"/>
          <w:lang w:val="en-US"/>
        </w:rPr>
        <w:t xml:space="preserve"> 18: 147‑63.</w:t>
      </w:r>
    </w:p>
    <w:p w:rsidR="0044440C" w:rsidRPr="0044440C" w:rsidRDefault="0044440C" w:rsidP="0044440C">
      <w:pPr>
        <w:pStyle w:val="Bibliographie"/>
        <w:rPr>
          <w:sz w:val="20"/>
          <w:lang w:val="en-US"/>
        </w:rPr>
      </w:pPr>
      <w:r w:rsidRPr="0044440C">
        <w:rPr>
          <w:sz w:val="20"/>
          <w:lang w:val="en-US"/>
        </w:rPr>
        <w:t xml:space="preserve">Lauber, Volkmar, et Elisa Schenner. 2011. « The struggle over support schemes for renewable electricity in the European Union: a discursive-institutionalist analysis ». </w:t>
      </w:r>
      <w:r w:rsidRPr="0044440C">
        <w:rPr>
          <w:i/>
          <w:iCs/>
          <w:sz w:val="20"/>
          <w:lang w:val="en-US"/>
        </w:rPr>
        <w:t>Environmental Politics</w:t>
      </w:r>
      <w:r w:rsidRPr="0044440C">
        <w:rPr>
          <w:sz w:val="20"/>
          <w:lang w:val="en-US"/>
        </w:rPr>
        <w:t xml:space="preserve"> 20 (4): 508‑27.</w:t>
      </w:r>
    </w:p>
    <w:p w:rsidR="0044440C" w:rsidRPr="0044440C" w:rsidRDefault="0044440C" w:rsidP="0044440C">
      <w:pPr>
        <w:pStyle w:val="Bibliographie"/>
        <w:rPr>
          <w:sz w:val="20"/>
          <w:lang w:val="en-US"/>
        </w:rPr>
      </w:pPr>
      <w:r w:rsidRPr="0044440C">
        <w:rPr>
          <w:sz w:val="20"/>
          <w:lang w:val="en-US"/>
        </w:rPr>
        <w:t xml:space="preserve">Laurent, Brice. 2015. « The politics of European agencements: constructing a market of sustainable biofuels ». </w:t>
      </w:r>
      <w:r w:rsidRPr="0044440C">
        <w:rPr>
          <w:i/>
          <w:iCs/>
          <w:sz w:val="20"/>
          <w:lang w:val="en-US"/>
        </w:rPr>
        <w:t>Environmental Politics</w:t>
      </w:r>
      <w:r w:rsidRPr="0044440C">
        <w:rPr>
          <w:sz w:val="20"/>
          <w:lang w:val="en-US"/>
        </w:rPr>
        <w:t xml:space="preserve"> 24 (1): 138‑55.</w:t>
      </w:r>
    </w:p>
    <w:p w:rsidR="003E4F50" w:rsidRDefault="003E4F50" w:rsidP="0044440C">
      <w:pPr>
        <w:pStyle w:val="Bibliographie"/>
        <w:rPr>
          <w:rFonts w:ascii="Arial" w:hAnsi="Arial" w:cs="Arial"/>
          <w:sz w:val="20"/>
        </w:rPr>
      </w:pPr>
      <w:r w:rsidRPr="003E4F50">
        <w:rPr>
          <w:rFonts w:ascii="Arial" w:hAnsi="Arial" w:cs="Arial"/>
          <w:sz w:val="20"/>
          <w:lang w:val="en-US"/>
        </w:rPr>
        <w:lastRenderedPageBreak/>
        <w:t xml:space="preserve">Meckling, Jonas. 2021. « Making industrial policy work for decarbonization ». </w:t>
      </w:r>
      <w:r w:rsidRPr="003E4F50">
        <w:rPr>
          <w:rFonts w:ascii="Arial" w:hAnsi="Arial" w:cs="Arial"/>
          <w:i/>
          <w:iCs/>
          <w:sz w:val="20"/>
        </w:rPr>
        <w:t>Global Environmental Politics</w:t>
      </w:r>
      <w:r w:rsidRPr="003E4F50">
        <w:rPr>
          <w:rFonts w:ascii="Arial" w:hAnsi="Arial" w:cs="Arial"/>
          <w:sz w:val="20"/>
        </w:rPr>
        <w:t xml:space="preserve"> 21 (4): 134</w:t>
      </w:r>
      <w:r w:rsidRPr="003E4F50">
        <w:rPr>
          <w:rFonts w:ascii="Cambria Math" w:hAnsi="Cambria Math" w:cs="Cambria Math"/>
          <w:sz w:val="20"/>
        </w:rPr>
        <w:t>‑</w:t>
      </w:r>
      <w:r w:rsidRPr="003E4F50">
        <w:rPr>
          <w:rFonts w:ascii="Arial" w:hAnsi="Arial" w:cs="Arial"/>
          <w:sz w:val="20"/>
        </w:rPr>
        <w:t>47.</w:t>
      </w:r>
    </w:p>
    <w:p w:rsidR="0044440C" w:rsidRPr="0044440C" w:rsidRDefault="003E4F50" w:rsidP="0044440C">
      <w:pPr>
        <w:pStyle w:val="Bibliographie"/>
        <w:rPr>
          <w:sz w:val="20"/>
          <w:lang w:val="en-US"/>
        </w:rPr>
      </w:pPr>
      <w:bookmarkStart w:id="0" w:name="_GoBack"/>
      <w:bookmarkEnd w:id="0"/>
      <w:r w:rsidRPr="003E4F50">
        <w:rPr>
          <w:sz w:val="20"/>
        </w:rPr>
        <w:t xml:space="preserve"> </w:t>
      </w:r>
      <w:r w:rsidR="0044440C" w:rsidRPr="003E4F50">
        <w:rPr>
          <w:sz w:val="20"/>
        </w:rPr>
        <w:t xml:space="preserve">Neyland, Daniel, Véra Ehrenstein, et Sveta Milyaeva. </w:t>
      </w:r>
      <w:r w:rsidR="0044440C" w:rsidRPr="0044440C">
        <w:rPr>
          <w:sz w:val="20"/>
          <w:lang w:val="en-US"/>
        </w:rPr>
        <w:t xml:space="preserve">2019. </w:t>
      </w:r>
      <w:r w:rsidR="0044440C" w:rsidRPr="0044440C">
        <w:rPr>
          <w:i/>
          <w:iCs/>
          <w:sz w:val="20"/>
          <w:lang w:val="en-US"/>
        </w:rPr>
        <w:t>Can Markets Solve Problems?: An Empirical Inquiry into Neoliberalism in Action</w:t>
      </w:r>
      <w:r w:rsidR="0044440C" w:rsidRPr="0044440C">
        <w:rPr>
          <w:sz w:val="20"/>
          <w:lang w:val="en-US"/>
        </w:rPr>
        <w:t>. Goldsmiths Press.</w:t>
      </w:r>
    </w:p>
    <w:p w:rsidR="0044440C" w:rsidRPr="0044440C" w:rsidRDefault="0044440C" w:rsidP="0044440C">
      <w:pPr>
        <w:pStyle w:val="Bibliographie"/>
        <w:rPr>
          <w:sz w:val="20"/>
          <w:lang w:val="en-US"/>
        </w:rPr>
      </w:pPr>
      <w:r w:rsidRPr="0044440C">
        <w:rPr>
          <w:sz w:val="20"/>
          <w:lang w:val="en-US"/>
        </w:rPr>
        <w:t xml:space="preserve">Raven, Rob, Florian Kern, Adrian Smith, Staffan Jacobsson, et Bram Verhees. 2016. </w:t>
      </w:r>
      <w:r w:rsidRPr="0044440C">
        <w:rPr>
          <w:i/>
          <w:iCs/>
          <w:sz w:val="20"/>
          <w:lang w:val="en-US"/>
        </w:rPr>
        <w:t>The politics of innovation spaces for low-carbon energy: Introduction to the special issue</w:t>
      </w:r>
      <w:r w:rsidRPr="0044440C">
        <w:rPr>
          <w:sz w:val="20"/>
          <w:lang w:val="en-US"/>
        </w:rPr>
        <w:t>. Elsevier.</w:t>
      </w:r>
    </w:p>
    <w:p w:rsidR="0044440C" w:rsidRPr="0044440C" w:rsidRDefault="0044440C" w:rsidP="0044440C">
      <w:pPr>
        <w:pStyle w:val="Bibliographie"/>
        <w:rPr>
          <w:sz w:val="20"/>
          <w:lang w:val="en-US"/>
        </w:rPr>
      </w:pPr>
      <w:r w:rsidRPr="0044440C">
        <w:rPr>
          <w:sz w:val="20"/>
          <w:lang w:val="en-US"/>
        </w:rPr>
        <w:t xml:space="preserve">Sovacool, Benjamin K., Chad M. Baum, et Sean Low. 2023. « Reviewing the sociotechnical dynamics of carbon removal ». </w:t>
      </w:r>
      <w:r w:rsidRPr="0044440C">
        <w:rPr>
          <w:i/>
          <w:iCs/>
          <w:sz w:val="20"/>
          <w:lang w:val="en-US"/>
        </w:rPr>
        <w:t>Joule</w:t>
      </w:r>
      <w:r w:rsidRPr="0044440C">
        <w:rPr>
          <w:sz w:val="20"/>
          <w:lang w:val="en-US"/>
        </w:rPr>
        <w:t xml:space="preserve"> 7 (1): 57‑82.</w:t>
      </w:r>
    </w:p>
    <w:p w:rsidR="0044440C" w:rsidRPr="00CB4160" w:rsidRDefault="0044440C" w:rsidP="0044440C">
      <w:pPr>
        <w:pStyle w:val="Bibliographie"/>
        <w:rPr>
          <w:sz w:val="20"/>
          <w:lang w:val="en-US"/>
        </w:rPr>
      </w:pPr>
      <w:r w:rsidRPr="0044440C">
        <w:rPr>
          <w:sz w:val="20"/>
          <w:lang w:val="en-US"/>
        </w:rPr>
        <w:t xml:space="preserve">Sovacool, Benjamin K., et M. V. Ramana. 2015. « Back to the future: Small modular reactors, nuclear fantasies, and symbolic convergence ». </w:t>
      </w:r>
      <w:r w:rsidRPr="00CB4160">
        <w:rPr>
          <w:i/>
          <w:iCs/>
          <w:sz w:val="20"/>
          <w:lang w:val="en-US"/>
        </w:rPr>
        <w:t>Science, Technology, &amp; Human Values</w:t>
      </w:r>
      <w:r w:rsidRPr="00CB4160">
        <w:rPr>
          <w:sz w:val="20"/>
          <w:lang w:val="en-US"/>
        </w:rPr>
        <w:t xml:space="preserve"> 40 (1): 96‑125.</w:t>
      </w:r>
    </w:p>
    <w:p w:rsidR="00FE2051" w:rsidRPr="00CB4160" w:rsidRDefault="00FE2051" w:rsidP="00C608BB">
      <w:pPr>
        <w:shd w:val="clear" w:color="auto" w:fill="FFFFFF"/>
        <w:spacing w:beforeAutospacing="1" w:afterAutospacing="1"/>
        <w:rPr>
          <w:rFonts w:ascii="Arial" w:hAnsi="Arial" w:cs="Arial"/>
          <w:b/>
          <w:sz w:val="20"/>
          <w:szCs w:val="20"/>
          <w:lang w:val="en-US"/>
        </w:rPr>
      </w:pPr>
    </w:p>
    <w:sectPr w:rsidR="00FE2051" w:rsidRPr="00CB4160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6E" w:rsidRDefault="00D86E6E" w:rsidP="00FE2051">
      <w:r>
        <w:separator/>
      </w:r>
    </w:p>
  </w:endnote>
  <w:endnote w:type="continuationSeparator" w:id="0">
    <w:p w:rsidR="00D86E6E" w:rsidRDefault="00D86E6E" w:rsidP="00FE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6E" w:rsidRDefault="00D86E6E" w:rsidP="00FE2051">
      <w:r>
        <w:separator/>
      </w:r>
    </w:p>
  </w:footnote>
  <w:footnote w:type="continuationSeparator" w:id="0">
    <w:p w:rsidR="00D86E6E" w:rsidRDefault="00D86E6E" w:rsidP="00FE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1A53"/>
    <w:multiLevelType w:val="multilevel"/>
    <w:tmpl w:val="158047BE"/>
    <w:lvl w:ilvl="0">
      <w:start w:val="1"/>
      <w:numFmt w:val="bullet"/>
      <w:lvlText w:val="·"/>
      <w:lvlJc w:val="left"/>
      <w:pPr>
        <w:tabs>
          <w:tab w:val="num" w:pos="0"/>
        </w:tabs>
        <w:ind w:left="851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2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0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4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1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61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21351C"/>
    <w:multiLevelType w:val="hybridMultilevel"/>
    <w:tmpl w:val="8756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07B98"/>
    <w:multiLevelType w:val="multilevel"/>
    <w:tmpl w:val="8DD4A0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A"/>
    <w:rsid w:val="00024DAC"/>
    <w:rsid w:val="00067DF6"/>
    <w:rsid w:val="00096358"/>
    <w:rsid w:val="00122697"/>
    <w:rsid w:val="001252FA"/>
    <w:rsid w:val="00171705"/>
    <w:rsid w:val="0017596F"/>
    <w:rsid w:val="001B2DF6"/>
    <w:rsid w:val="001C0091"/>
    <w:rsid w:val="0020671A"/>
    <w:rsid w:val="0022466D"/>
    <w:rsid w:val="00252D7B"/>
    <w:rsid w:val="00255C03"/>
    <w:rsid w:val="002A3836"/>
    <w:rsid w:val="002B4CF6"/>
    <w:rsid w:val="002B6D28"/>
    <w:rsid w:val="002C3714"/>
    <w:rsid w:val="002D368F"/>
    <w:rsid w:val="0030068B"/>
    <w:rsid w:val="0031620A"/>
    <w:rsid w:val="00391762"/>
    <w:rsid w:val="003E4F50"/>
    <w:rsid w:val="003F3019"/>
    <w:rsid w:val="00401D1E"/>
    <w:rsid w:val="004057EC"/>
    <w:rsid w:val="0041203E"/>
    <w:rsid w:val="004260CA"/>
    <w:rsid w:val="0044440C"/>
    <w:rsid w:val="004863B1"/>
    <w:rsid w:val="004F571B"/>
    <w:rsid w:val="00534983"/>
    <w:rsid w:val="0054351A"/>
    <w:rsid w:val="005C0787"/>
    <w:rsid w:val="006134A0"/>
    <w:rsid w:val="00623DB1"/>
    <w:rsid w:val="00673040"/>
    <w:rsid w:val="00673CE4"/>
    <w:rsid w:val="00690198"/>
    <w:rsid w:val="006E46EC"/>
    <w:rsid w:val="00792ACA"/>
    <w:rsid w:val="007F3D36"/>
    <w:rsid w:val="008073FA"/>
    <w:rsid w:val="00882DA8"/>
    <w:rsid w:val="008E23E9"/>
    <w:rsid w:val="009018A1"/>
    <w:rsid w:val="00944E2D"/>
    <w:rsid w:val="009502D0"/>
    <w:rsid w:val="00985B9F"/>
    <w:rsid w:val="009873E4"/>
    <w:rsid w:val="00995822"/>
    <w:rsid w:val="009A13C7"/>
    <w:rsid w:val="009F1006"/>
    <w:rsid w:val="00A67346"/>
    <w:rsid w:val="00A77859"/>
    <w:rsid w:val="00AA31BE"/>
    <w:rsid w:val="00AD4DAC"/>
    <w:rsid w:val="00AF31E5"/>
    <w:rsid w:val="00B25EF4"/>
    <w:rsid w:val="00B404C0"/>
    <w:rsid w:val="00BB6F05"/>
    <w:rsid w:val="00BD0ACE"/>
    <w:rsid w:val="00BE7501"/>
    <w:rsid w:val="00C608BB"/>
    <w:rsid w:val="00C93ADD"/>
    <w:rsid w:val="00CB2157"/>
    <w:rsid w:val="00CB4160"/>
    <w:rsid w:val="00CF4E63"/>
    <w:rsid w:val="00D27471"/>
    <w:rsid w:val="00D339E6"/>
    <w:rsid w:val="00D466FC"/>
    <w:rsid w:val="00D86E6E"/>
    <w:rsid w:val="00DA5E70"/>
    <w:rsid w:val="00DF1889"/>
    <w:rsid w:val="00DF7C22"/>
    <w:rsid w:val="00E247E0"/>
    <w:rsid w:val="00E660F1"/>
    <w:rsid w:val="00E74B4B"/>
    <w:rsid w:val="00F003AA"/>
    <w:rsid w:val="00F17499"/>
    <w:rsid w:val="00F77702"/>
    <w:rsid w:val="00F87223"/>
    <w:rsid w:val="00F937E7"/>
    <w:rsid w:val="00FD4920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4447"/>
  <w15:docId w15:val="{4DB1C374-5D46-474F-A81E-3D221672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  <w:shd w:val="clear" w:color="auto" w:fill="FFFFFF"/>
      <w:lang w:eastAsia="fr-FR"/>
    </w:rPr>
  </w:style>
  <w:style w:type="paragraph" w:styleId="Titre1">
    <w:name w:val="heading 1"/>
    <w:basedOn w:val="Normal"/>
    <w:uiPriority w:val="9"/>
    <w:qFormat/>
    <w:pPr>
      <w:keepNext/>
      <w:keepLines/>
      <w:shd w:val="clear" w:color="auto" w:fill="FFFFFF"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keepNext/>
      <w:keepLines/>
      <w:shd w:val="clear" w:color="auto" w:fill="FFFFFF"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nhideWhenUsed/>
    <w:rPr>
      <w:color w:val="0000FF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NotedefinCar">
    <w:name w:val="Note de fin Car"/>
    <w:link w:val="Notedefin"/>
    <w:uiPriority w:val="99"/>
    <w:qFormat/>
    <w:rPr>
      <w:sz w:val="20"/>
    </w:rPr>
  </w:style>
  <w:style w:type="character" w:customStyle="1" w:styleId="Caractresdenotedefin">
    <w:name w:val="Caractères de note de fin"/>
    <w:basedOn w:val="Policepardfaut"/>
    <w:uiPriority w:val="99"/>
    <w:semiHidden/>
    <w:unhideWhenUsed/>
    <w:qFormat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ptionChar">
    <w:name w:val="Caption Char"/>
    <w:uiPriority w:val="99"/>
    <w:qFormat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Titre1Car">
    <w:name w:val="Titre 1 Car"/>
    <w:basedOn w:val="Policepardfaut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uiPriority w:val="9"/>
    <w:qFormat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reCar">
    <w:name w:val="Titre Car"/>
    <w:basedOn w:val="Policepardfaut"/>
    <w:uiPriority w:val="10"/>
    <w:qFormat/>
    <w:rPr>
      <w:sz w:val="48"/>
      <w:szCs w:val="48"/>
    </w:rPr>
  </w:style>
  <w:style w:type="character" w:customStyle="1" w:styleId="Sous-titreCar">
    <w:name w:val="Sous-titre Car"/>
    <w:basedOn w:val="Policepardfaut"/>
    <w:uiPriority w:val="11"/>
    <w:qFormat/>
    <w:rPr>
      <w:sz w:val="24"/>
      <w:szCs w:val="24"/>
    </w:rPr>
  </w:style>
  <w:style w:type="character" w:customStyle="1" w:styleId="CitationCar">
    <w:name w:val="Citation Car"/>
    <w:uiPriority w:val="29"/>
    <w:qFormat/>
    <w:rPr>
      <w:i/>
    </w:rPr>
  </w:style>
  <w:style w:type="character" w:customStyle="1" w:styleId="CitationintenseCar">
    <w:name w:val="Citation intense Car"/>
    <w:uiPriority w:val="30"/>
    <w:qFormat/>
    <w:rPr>
      <w:i/>
    </w:rPr>
  </w:style>
  <w:style w:type="character" w:customStyle="1" w:styleId="En-tteCar">
    <w:name w:val="En-tête Car"/>
    <w:basedOn w:val="Policepardfaut"/>
    <w:uiPriority w:val="99"/>
    <w:qFormat/>
  </w:style>
  <w:style w:type="character" w:customStyle="1" w:styleId="PieddepageCar">
    <w:name w:val="Pied de page Car"/>
    <w:basedOn w:val="Policepardfaut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qFormat/>
    <w:rPr>
      <w:sz w:val="24"/>
      <w:szCs w:val="24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Numrotationdelignes">
    <w:name w:val="Numérotation de lignes"/>
  </w:style>
  <w:style w:type="paragraph" w:styleId="Titre">
    <w:name w:val="Title"/>
    <w:basedOn w:val="Normal"/>
    <w:next w:val="Corpsdetexte"/>
    <w:uiPriority w:val="10"/>
    <w:qFormat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Corpsdetexte">
    <w:name w:val="Body Text"/>
    <w:basedOn w:val="Normal"/>
    <w:pPr>
      <w:shd w:val="clear" w:color="auto" w:fill="FFFFFF"/>
      <w:spacing w:after="140" w:line="276" w:lineRule="auto"/>
    </w:pPr>
    <w:rPr>
      <w:rFonts w:ascii="Calibri" w:eastAsia="Calibri" w:hAnsi="Calibri" w:cs="Calibri"/>
      <w:sz w:val="22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uiPriority w:val="35"/>
    <w:semiHidden/>
    <w:unhideWhenUsed/>
    <w:qFormat/>
    <w:pPr>
      <w:shd w:val="clear" w:color="auto" w:fill="FFFFFF"/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  <w:rPr>
      <w:rFonts w:cs="Lohit Devanagari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paragraph" w:styleId="Tabledesillustrations">
    <w:name w:val="table of figures"/>
    <w:basedOn w:val="Normal"/>
    <w:next w:val="Normal"/>
    <w:uiPriority w:val="99"/>
    <w:unhideWhenUsed/>
    <w:qFormat/>
  </w:style>
  <w:style w:type="paragraph" w:styleId="Sansinterligne">
    <w:name w:val="No Spacing"/>
    <w:uiPriority w:val="1"/>
    <w:qFormat/>
    <w:rPr>
      <w:sz w:val="24"/>
    </w:rPr>
  </w:style>
  <w:style w:type="paragraph" w:styleId="Sous-titre">
    <w:name w:val="Subtitle"/>
    <w:basedOn w:val="Normal"/>
    <w:uiPriority w:val="11"/>
    <w:qFormat/>
    <w:pPr>
      <w:shd w:val="clear" w:color="auto" w:fill="FFFFFF"/>
      <w:spacing w:before="200" w:after="200"/>
    </w:pPr>
  </w:style>
  <w:style w:type="paragraph" w:styleId="Citation">
    <w:name w:val="Quote"/>
    <w:basedOn w:val="Normal"/>
    <w:uiPriority w:val="29"/>
    <w:qFormat/>
    <w:pPr>
      <w:shd w:val="clear" w:color="auto" w:fill="FFFFFF"/>
      <w:ind w:left="720" w:right="720"/>
    </w:pPr>
    <w:rPr>
      <w:i/>
    </w:rPr>
  </w:style>
  <w:style w:type="paragraph" w:styleId="Citationintens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pPr>
      <w:shd w:val="clear" w:color="auto" w:fill="FFFFFF"/>
      <w:tabs>
        <w:tab w:val="center" w:pos="7143"/>
        <w:tab w:val="right" w:pos="14287"/>
      </w:tabs>
    </w:pPr>
  </w:style>
  <w:style w:type="paragraph" w:styleId="Pieddepage">
    <w:name w:val="footer"/>
    <w:basedOn w:val="Normal"/>
    <w:uiPriority w:val="99"/>
    <w:unhideWhenUsed/>
    <w:pPr>
      <w:shd w:val="clear" w:color="auto" w:fill="FFFFFF"/>
      <w:tabs>
        <w:tab w:val="center" w:pos="7143"/>
        <w:tab w:val="right" w:pos="14287"/>
      </w:tabs>
    </w:pPr>
  </w:style>
  <w:style w:type="paragraph" w:styleId="TM1">
    <w:name w:val="toc 1"/>
    <w:basedOn w:val="Normal"/>
    <w:uiPriority w:val="39"/>
    <w:unhideWhenUsed/>
    <w:pPr>
      <w:shd w:val="clear" w:color="auto" w:fill="FFFFFF"/>
      <w:spacing w:after="57"/>
    </w:pPr>
  </w:style>
  <w:style w:type="paragraph" w:styleId="TM2">
    <w:name w:val="toc 2"/>
    <w:basedOn w:val="Normal"/>
    <w:uiPriority w:val="39"/>
    <w:unhideWhenUsed/>
    <w:pPr>
      <w:shd w:val="clear" w:color="auto" w:fill="FFFFFF"/>
      <w:spacing w:after="57"/>
      <w:ind w:left="283"/>
    </w:pPr>
  </w:style>
  <w:style w:type="paragraph" w:styleId="TM3">
    <w:name w:val="toc 3"/>
    <w:basedOn w:val="Normal"/>
    <w:uiPriority w:val="39"/>
    <w:unhideWhenUsed/>
    <w:pPr>
      <w:shd w:val="clear" w:color="auto" w:fill="FFFFFF"/>
      <w:spacing w:after="57"/>
      <w:ind w:left="567"/>
    </w:pPr>
  </w:style>
  <w:style w:type="paragraph" w:styleId="TM4">
    <w:name w:val="toc 4"/>
    <w:basedOn w:val="Normal"/>
    <w:uiPriority w:val="39"/>
    <w:unhideWhenUsed/>
    <w:pPr>
      <w:shd w:val="clear" w:color="auto" w:fill="FFFFFF"/>
      <w:spacing w:after="57"/>
      <w:ind w:left="850"/>
    </w:pPr>
  </w:style>
  <w:style w:type="paragraph" w:styleId="TM5">
    <w:name w:val="toc 5"/>
    <w:basedOn w:val="Normal"/>
    <w:uiPriority w:val="39"/>
    <w:unhideWhenUsed/>
    <w:pPr>
      <w:shd w:val="clear" w:color="auto" w:fill="FFFFFF"/>
      <w:spacing w:after="57"/>
      <w:ind w:left="1134"/>
    </w:pPr>
  </w:style>
  <w:style w:type="paragraph" w:styleId="TM6">
    <w:name w:val="toc 6"/>
    <w:basedOn w:val="Normal"/>
    <w:uiPriority w:val="39"/>
    <w:unhideWhenUsed/>
    <w:pPr>
      <w:shd w:val="clear" w:color="auto" w:fill="FFFFFF"/>
      <w:spacing w:after="57"/>
      <w:ind w:left="1417"/>
    </w:pPr>
  </w:style>
  <w:style w:type="paragraph" w:styleId="TM7">
    <w:name w:val="toc 7"/>
    <w:basedOn w:val="Normal"/>
    <w:uiPriority w:val="39"/>
    <w:unhideWhenUsed/>
    <w:pPr>
      <w:shd w:val="clear" w:color="auto" w:fill="FFFFFF"/>
      <w:spacing w:after="57"/>
      <w:ind w:left="1701"/>
    </w:pPr>
  </w:style>
  <w:style w:type="paragraph" w:styleId="TM8">
    <w:name w:val="toc 8"/>
    <w:basedOn w:val="Normal"/>
    <w:uiPriority w:val="39"/>
    <w:unhideWhenUsed/>
    <w:pPr>
      <w:shd w:val="clear" w:color="auto" w:fill="FFFFFF"/>
      <w:spacing w:after="57"/>
      <w:ind w:left="1984"/>
    </w:pPr>
  </w:style>
  <w:style w:type="paragraph" w:styleId="TM9">
    <w:name w:val="toc 9"/>
    <w:basedOn w:val="Normal"/>
    <w:uiPriority w:val="39"/>
    <w:unhideWhenUsed/>
    <w:pPr>
      <w:shd w:val="clear" w:color="auto" w:fill="FFFFFF"/>
      <w:spacing w:after="57"/>
      <w:ind w:left="2268"/>
    </w:pPr>
  </w:style>
  <w:style w:type="paragraph" w:styleId="Titreindex">
    <w:name w:val="index heading"/>
    <w:basedOn w:val="Titre"/>
  </w:style>
  <w:style w:type="paragraph" w:styleId="En-ttedetabledesmatires">
    <w:name w:val="TOC Heading"/>
    <w:uiPriority w:val="39"/>
    <w:unhideWhenUsed/>
    <w:qFormat/>
    <w:rPr>
      <w:sz w:val="24"/>
    </w:rPr>
  </w:style>
  <w:style w:type="paragraph" w:styleId="Textedebulles">
    <w:name w:val="Balloon Text"/>
    <w:basedOn w:val="Normal"/>
    <w:qFormat/>
    <w:pPr>
      <w:shd w:val="clear" w:color="auto" w:fill="FFFFFF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unhideWhenUsed/>
    <w:pPr>
      <w:shd w:val="clear" w:color="auto" w:fill="FFFFFF"/>
    </w:pPr>
  </w:style>
  <w:style w:type="paragraph" w:styleId="Paragraphedeliste">
    <w:name w:val="List Paragraph"/>
    <w:basedOn w:val="Normal"/>
    <w:uiPriority w:val="34"/>
    <w:qFormat/>
    <w:pPr>
      <w:shd w:val="clear" w:color="auto" w:fill="FFFFFF"/>
      <w:ind w:left="720"/>
      <w:contextualSpacing/>
    </w:pPr>
  </w:style>
  <w:style w:type="table" w:styleId="Grilledutableau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Tableausimp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en-US" w:eastAsia="fr-F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en-US" w:eastAsia="fr-F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en-US" w:eastAsia="fr-F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en-US" w:eastAsia="fr-F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en-US" w:eastAsia="fr-F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en-US" w:eastAsia="fr-F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en-US" w:eastAsia="fr-FR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en-US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en-US" w:eastAsia="fr-FR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en-US" w:eastAsia="fr-FR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en-US" w:eastAsia="fr-FR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en-US" w:eastAsia="fr-FR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en-US" w:eastAsia="fr-FR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en-US" w:eastAsia="fr-FR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paragraph" w:styleId="Bibliographie">
    <w:name w:val="Bibliography"/>
    <w:basedOn w:val="Normal"/>
    <w:next w:val="Normal"/>
    <w:uiPriority w:val="37"/>
    <w:unhideWhenUsed/>
    <w:rsid w:val="00FE2051"/>
    <w:pPr>
      <w:ind w:left="720" w:hanging="720"/>
    </w:pPr>
  </w:style>
  <w:style w:type="character" w:styleId="Lienhypertexte">
    <w:name w:val="Hyperlink"/>
    <w:basedOn w:val="Policepardfaut"/>
    <w:uiPriority w:val="99"/>
    <w:unhideWhenUsed/>
    <w:rsid w:val="00300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co2.univ-grenoble-alpes.fr/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8110F-AB64-4CE2-AA81-0E6BCFA7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GILCO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freiny</dc:creator>
  <dc:description/>
  <cp:lastModifiedBy>thomas reverdy</cp:lastModifiedBy>
  <cp:revision>32</cp:revision>
  <dcterms:created xsi:type="dcterms:W3CDTF">2023-03-22T15:42:00Z</dcterms:created>
  <dcterms:modified xsi:type="dcterms:W3CDTF">2023-04-25T10:18:00Z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ZOTERO_PREF_1">
    <vt:lpwstr>&lt;data data-version="3" zotero-version="6.0.23"&gt;&lt;session id="T4g5t5hO"/&gt;&lt;style id="http://www.zotero.org/styles/chicago-author-date" locale="fr-FR" hasBibliography="1" bibliographyStyleHasBeenSet="1"/&gt;&lt;prefs&gt;&lt;pref name="fieldType" value="Field"/&gt;&lt;/prefs&gt;&lt;/</vt:lpwstr>
  </property>
  <property fmtid="{D5CDD505-2E9C-101B-9397-08002B2CF9AE}" pid="7" name="ZOTERO_PREF_2">
    <vt:lpwstr>data&gt;</vt:lpwstr>
  </property>
</Properties>
</file>